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26.05.2023
 Национальный центр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18 сентября 2020 г.</w:t>
      </w:r>
      <w:r>
        <w:rPr>
          <w:sz w:val="24"/>
          <w:szCs w:val="24"/>
        </w:rPr>
        <w:t xml:space="preserve"> </w:t>
      </w:r>
      <w:r>
        <w:rPr>
          <w:sz w:val="24"/>
          <w:szCs w:val="24"/>
        </w:rPr>
        <w:t xml:space="preserve">№ 541</w:t>
      </w:r>
    </w:p>
    <w:p>
      <w:pPr>
        <w:spacing w:before="240" w:after="240"/>
      </w:pPr>
      <w:r>
        <w:rPr>
          <w:sz w:val="28"/>
          <w:szCs w:val="28"/>
          <w:b/>
          <w:bCs/>
        </w:rPr>
        <w:t xml:space="preserve">О документах, запрашиваемых при осуществлении административных процедур</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сентября 2021 г. № 547 (Национальный правовой Интернет-портал Республики Беларусь, 07.10.2021, 5/49489)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декабря 2021 г. № 720 (Национальный правовой Интернет-портал Республики Беларусь, 17.12.2021, 5/49739)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июля 2022 г. № 442 (Национальный правовой Интернет-портал Республики Беларусь, 07.07.2022, 5/50444)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2022 г. № 860 (Национальный правовой Интернет-портал Республики Беларусь, 14.12.2022, 5/51085)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февраля 2023 г. № 124 (Национальный правовой Интернет-портал Республики Беларусь, 18.02.2023, 5/51382)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февраля 2023 г. № 155 (Национальный правовой Интернет-портал Республики Беларусь, 10.03.2023, 5/51433)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мая 2023 г. № 327 (Национальный правовой Интернет-портал Республики Беларусь, 23.05.2023, 5/51702)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абзаца четвертого подпункта 4.2 пункта 4 Указа Президента Республики Беларусь от 4 декабря 2014 г. № 566 «О вопросах осуществления административных процедур», пункта 4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pPr>
        <w:jc w:val="both"/>
        <w:ind w:left="0" w:right="0" w:firstLine="566.92913385827"/>
        <w:spacing w:after="60"/>
      </w:pPr>
      <w:r>
        <w:rPr>
          <w:sz w:val="24"/>
          <w:szCs w:val="24"/>
        </w:rPr>
        <w:t xml:space="preserve">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pPr>
        <w:jc w:val="both"/>
        <w:ind w:left="0" w:right="0" w:firstLine="566.92913385827"/>
        <w:spacing w:after="60"/>
      </w:pPr>
      <w:r>
        <w:rPr>
          <w:sz w:val="24"/>
          <w:szCs w:val="24"/>
        </w:rPr>
        <w:t xml:space="preserve">2.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p/>
    <w:p>
      <w:pPr>
        <w:jc w:val="both"/>
        <w:ind w:left="0" w:right="0" w:firstLine="566.92913385827"/>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jc w:val="both"/>
              <w:ind w:left="0" w:right="0" w:firstLine="0"/>
              <w:spacing w:after="60"/>
            </w:pPr>
            <w:r>
              <w:rPr>
                <w:sz w:val="24"/>
                <w:szCs w:val="24"/>
              </w:rPr>
              <w:t xml:space="preserve"> </w:t>
            </w:r>
          </w:p>
        </w:tc>
        <w:tc>
          <w:tcPr>
            <w:tcW w:w="1136"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18.09.2020 № 541</w:t>
            </w:r>
          </w:p>
        </w:tc>
      </w:tr>
    </w:tbl>
    <w:p>
      <w:pPr>
        <w:jc w:val="left"/>
        <w:spacing w:before="240" w:after="240"/>
      </w:pPr>
      <w:r>
        <w:rPr>
          <w:sz w:val="24"/>
          <w:szCs w:val="24"/>
          <w:b/>
          <w:bCs/>
        </w:rPr>
        <w:t xml:space="preserve">ПЕРЕЧЕНЬ</w:t>
      </w:r>
      <w:br/>
      <w:r>
        <w:rPr>
          <w:sz w:val="24"/>
          <w:szCs w:val="24"/>
          <w:b/>
          <w:bCs/>
        </w:rPr>
        <w:t xml:space="preserve">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Grid>
        <w:gridCol w:w="1793" w:type="dxa"/>
        <w:gridCol w:w="831" w:type="dxa"/>
        <w:gridCol w:w="2376" w:type="dxa"/>
      </w:tblGrid>
      <w:tblPr>
        <w:tblW w:w="5000" w:type="pct"/>
        <w:tblLayout w:type="autofit"/>
      </w:tblPr>
      <w:tr>
        <w:trPr/>
        <w:tc>
          <w:tcPr>
            <w:tcW w:w="179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административной процедуры</w:t>
            </w:r>
          </w:p>
        </w:tc>
        <w:tc>
          <w:tcPr>
            <w:tcW w:w="8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Структурный элемент перечня*</w:t>
            </w:r>
          </w:p>
        </w:tc>
        <w:tc>
          <w:tcPr>
            <w:tcW w:w="237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Документы и (или) сведения, запрашиваемые местными исполнительными и распорядительными органами</w:t>
            </w:r>
          </w:p>
        </w:tc>
      </w:tr>
      <w:tr>
        <w:trPr/>
        <w:tc>
          <w:tcPr>
            <w:tcW w:w="1793" w:type="pct"/>
            <w:vAlign w:val="top"/>
            <w:tcBorders>
              <w:top w:val="single" w:sz="5" w:color="000000"/>
            </w:tcBorders>
            <w:vMerge w:val="restart"/>
          </w:tcPr>
          <w:p>
            <w:pPr>
              <w:jc w:val="left"/>
              <w:spacing w:before="120" w:after="45" w:line="240" w:lineRule="auto"/>
            </w:pPr>
            <w:r>
              <w:rPr>
                <w:sz w:val="20"/>
                <w:szCs w:val="20"/>
              </w:rP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31" w:type="pct"/>
            <w:vAlign w:val="top"/>
            <w:tcBorders>
              <w:top w:val="single" w:sz="5" w:color="000000"/>
            </w:tcBorders>
            <w:vMerge w:val="restart"/>
          </w:tcPr>
          <w:p>
            <w:pPr>
              <w:jc w:val="left"/>
              <w:spacing w:before="120" w:after="45" w:line="240" w:lineRule="auto"/>
            </w:pPr>
            <w:r>
              <w:rPr>
                <w:sz w:val="20"/>
                <w:szCs w:val="20"/>
              </w:rPr>
              <w:t xml:space="preserve">подпункт 1.1.2 пункта 1.1</w:t>
            </w:r>
          </w:p>
        </w:tc>
        <w:tc>
          <w:tcPr>
            <w:tcW w:w="2376" w:type="pct"/>
            <w:vAlign w:val="top"/>
            <w:tcBorders>
              <w:top w:val="single" w:sz="5" w:color="000000"/>
            </w:tcBorders>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 на отчуждаемое и (или) приобретаемое жилое помещение</w:t>
            </w:r>
          </w:p>
          <w:p>
            <w:pPr>
              <w:jc w:val="left"/>
              <w:spacing w:before="120" w:after="45" w:line="240" w:lineRule="auto"/>
            </w:pPr>
            <w:r>
              <w:rPr>
                <w:sz w:val="20"/>
                <w:szCs w:val="20"/>
              </w:rPr>
              <w:t xml:space="preserve">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r>
      <w:tr>
        <w:trPr/>
        <w:tc>
          <w:tcPr>
            <w:tcW w:w="1793" w:type="pct"/>
            <w:vAlign w:val="top"/>
            <w:vMerge w:val="restart"/>
          </w:tcPr>
          <w:p>
            <w:pPr>
              <w:jc w:val="left"/>
              <w:spacing w:before="120" w:after="45" w:line="240" w:lineRule="auto"/>
            </w:pPr>
            <w:r>
              <w:rPr>
                <w:sz w:val="20"/>
                <w:szCs w:val="20"/>
              </w:rPr>
              <w:t xml:space="preserve">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31"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состоянии на учете нуждающихся в улучшении жилищных условий</w:t>
            </w:r>
          </w:p>
        </w:tc>
      </w:tr>
      <w:tr>
        <w:trPr/>
        <w:tc>
          <w:tcPr>
            <w:tcW w:w="1793" w:type="pct"/>
            <w:vAlign w:val="top"/>
            <w:vMerge w:val="restart"/>
          </w:tcPr>
          <w:p>
            <w:pPr>
              <w:jc w:val="left"/>
              <w:spacing w:before="120" w:after="45" w:line="240" w:lineRule="auto"/>
            </w:pPr>
            <w:r>
              <w:rPr>
                <w:sz w:val="20"/>
                <w:szCs w:val="20"/>
              </w:rPr>
              <w:t xml:space="preserve">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31" w:type="pct"/>
            <w:vAlign w:val="top"/>
            <w:vMerge w:val="restart"/>
          </w:tcPr>
          <w:p>
            <w:pPr>
              <w:jc w:val="left"/>
              <w:spacing w:before="120" w:after="45" w:line="240" w:lineRule="auto"/>
            </w:pPr>
            <w:r>
              <w:rPr>
                <w:sz w:val="20"/>
                <w:szCs w:val="20"/>
              </w:rPr>
              <w:t xml:space="preserve">подпункт 1.1.3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 на отчуждаемое и (или) приобретаемое жилое помещение</w:t>
            </w:r>
          </w:p>
          <w:p>
            <w:pPr>
              <w:jc w:val="left"/>
              <w:spacing w:before="120" w:after="45" w:line="240" w:lineRule="auto"/>
            </w:pPr>
            <w:r>
              <w:rPr>
                <w:sz w:val="20"/>
                <w:szCs w:val="20"/>
              </w:rPr>
              <w:t xml:space="preserve">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pPr>
              <w:jc w:val="left"/>
              <w:spacing w:before="120" w:after="45" w:line="240" w:lineRule="auto"/>
            </w:pPr>
            <w:r>
              <w:rPr>
                <w:sz w:val="20"/>
                <w:szCs w:val="20"/>
              </w:rPr>
              <w:t xml:space="preserve">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r>
      <w:tr>
        <w:trPr/>
        <w:tc>
          <w:tcPr>
            <w:tcW w:w="1793" w:type="pct"/>
            <w:vAlign w:val="top"/>
            <w:vMerge w:val="restart"/>
          </w:tcPr>
          <w:p>
            <w:pPr>
              <w:jc w:val="left"/>
              <w:spacing w:before="120" w:after="45" w:line="240" w:lineRule="auto"/>
            </w:pPr>
            <w:r>
              <w:rPr>
                <w:sz w:val="20"/>
                <w:szCs w:val="20"/>
              </w:rPr>
              <w:t xml:space="preserve">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31" w:type="pct"/>
            <w:vAlign w:val="top"/>
            <w:vMerge w:val="restart"/>
          </w:tcPr>
          <w:p>
            <w:pPr>
              <w:jc w:val="left"/>
              <w:spacing w:before="120" w:after="45" w:line="240" w:lineRule="auto"/>
            </w:pPr>
            <w:r>
              <w:rPr>
                <w:sz w:val="20"/>
                <w:szCs w:val="20"/>
              </w:rPr>
              <w:t xml:space="preserve">подпункт 1.1.4 пункта 1.1</w:t>
            </w:r>
          </w:p>
        </w:tc>
        <w:tc>
          <w:tcPr>
            <w:tcW w:w="2376" w:type="pct"/>
            <w:vAlign w:val="top"/>
            <w:vMerge w:val="restart"/>
          </w:tcPr>
          <w:p>
            <w:pPr>
              <w:jc w:val="left"/>
              <w:spacing w:before="120" w:after="45" w:line="240" w:lineRule="auto"/>
            </w:pPr>
            <w:r>
              <w:rPr>
                <w:sz w:val="20"/>
                <w:szCs w:val="20"/>
              </w:rPr>
              <w:t xml:space="preserve">копия лицевого счета на жилое помещение, являющееся предметом залога</w:t>
            </w:r>
          </w:p>
        </w:tc>
      </w:tr>
      <w:tr>
        <w:trPr/>
        <w:tc>
          <w:tcPr>
            <w:tcW w:w="1793" w:type="pct"/>
            <w:vAlign w:val="top"/>
            <w:vMerge w:val="restart"/>
          </w:tcPr>
          <w:p>
            <w:pPr>
              <w:jc w:val="left"/>
              <w:spacing w:before="120" w:after="45" w:line="240" w:lineRule="auto"/>
            </w:pPr>
            <w:r>
              <w:rPr>
                <w:sz w:val="20"/>
                <w:szCs w:val="20"/>
              </w:rPr>
              <w:t xml:space="preserve">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31" w:type="pct"/>
            <w:vAlign w:val="top"/>
            <w:vMerge w:val="restart"/>
          </w:tcPr>
          <w:p>
            <w:pPr>
              <w:jc w:val="left"/>
              <w:spacing w:before="120" w:after="45" w:line="240" w:lineRule="auto"/>
            </w:pPr>
            <w:r>
              <w:rPr>
                <w:sz w:val="20"/>
                <w:szCs w:val="20"/>
              </w:rPr>
              <w:t xml:space="preserve">подпункт 1.1.5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pPr>
              <w:jc w:val="left"/>
              <w:spacing w:before="120" w:after="45" w:line="240" w:lineRule="auto"/>
            </w:pPr>
            <w:r>
              <w:rPr>
                <w:sz w:val="20"/>
                <w:szCs w:val="20"/>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pPr>
              <w:jc w:val="left"/>
              <w:spacing w:before="120" w:after="45" w:line="240" w:lineRule="auto"/>
            </w:pPr>
            <w:r>
              <w:rPr>
                <w:sz w:val="20"/>
                <w:szCs w:val="20"/>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pPr>
              <w:jc w:val="left"/>
              <w:spacing w:before="120" w:after="45" w:line="240" w:lineRule="auto"/>
            </w:pPr>
            <w:r>
              <w:rPr>
                <w:sz w:val="20"/>
                <w:szCs w:val="20"/>
              </w:rP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pPr>
              <w:jc w:val="left"/>
              <w:spacing w:before="120" w:after="45" w:line="240" w:lineRule="auto"/>
            </w:pPr>
            <w:r>
              <w:rPr>
                <w:sz w:val="20"/>
                <w:szCs w:val="20"/>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pPr>
              <w:jc w:val="left"/>
              <w:spacing w:before="120" w:after="45" w:line="240" w:lineRule="auto"/>
            </w:pPr>
            <w:r>
              <w:rPr>
                <w:sz w:val="20"/>
                <w:szCs w:val="20"/>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pPr>
              <w:jc w:val="left"/>
              <w:spacing w:before="120" w:after="45" w:line="240" w:lineRule="auto"/>
            </w:pPr>
            <w:r>
              <w:rPr>
                <w:sz w:val="20"/>
                <w:szCs w:val="20"/>
              </w:rP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pPr>
              <w:jc w:val="left"/>
              <w:spacing w:before="120" w:after="45" w:line="240" w:lineRule="auto"/>
            </w:pPr>
            <w:r>
              <w:rPr>
                <w:sz w:val="20"/>
                <w:szCs w:val="20"/>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pPr>
              <w:jc w:val="left"/>
              <w:spacing w:before="120" w:after="45" w:line="240" w:lineRule="auto"/>
            </w:pPr>
            <w:r>
              <w:rPr>
                <w:sz w:val="20"/>
                <w:szCs w:val="20"/>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trPr/>
        <w:tc>
          <w:tcPr>
            <w:tcW w:w="1793" w:type="pct"/>
            <w:vAlign w:val="top"/>
            <w:vMerge w:val="restart"/>
          </w:tcPr>
          <w:p>
            <w:pPr>
              <w:jc w:val="left"/>
              <w:spacing w:before="120" w:after="45" w:line="240" w:lineRule="auto"/>
            </w:pPr>
            <w:r>
              <w:rPr>
                <w:sz w:val="20"/>
                <w:szCs w:val="20"/>
              </w:rPr>
              <w:t xml:space="preserve">6.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8.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9.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10. Принятие решения об индексации именных приватизационных чеков «Жилье»</w:t>
            </w:r>
          </w:p>
        </w:tc>
        <w:tc>
          <w:tcPr>
            <w:tcW w:w="831" w:type="pct"/>
            <w:vAlign w:val="top"/>
            <w:vMerge w:val="restart"/>
          </w:tcPr>
          <w:p>
            <w:pPr>
              <w:jc w:val="left"/>
              <w:spacing w:before="120" w:after="45" w:line="240" w:lineRule="auto"/>
            </w:pPr>
            <w:r>
              <w:rPr>
                <w:sz w:val="20"/>
                <w:szCs w:val="20"/>
              </w:rPr>
              <w:t xml:space="preserve">подпункт 1.1.10 пункта 1.1</w:t>
            </w:r>
          </w:p>
        </w:tc>
        <w:tc>
          <w:tcPr>
            <w:tcW w:w="2376" w:type="pct"/>
            <w:vAlign w:val="top"/>
            <w:vMerge w:val="restart"/>
          </w:tcPr>
          <w:p>
            <w:pPr>
              <w:jc w:val="left"/>
              <w:spacing w:before="120" w:after="45" w:line="240" w:lineRule="auto"/>
            </w:pPr>
            <w:r>
              <w:rPr>
                <w:sz w:val="20"/>
                <w:szCs w:val="20"/>
              </w:rPr>
              <w:t xml:space="preserve">справка о начисленной жилищной квоте</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pPr>
              <w:jc w:val="left"/>
              <w:spacing w:before="120" w:after="45" w:line="240" w:lineRule="auto"/>
            </w:pPr>
            <w:r>
              <w:rPr>
                <w:sz w:val="20"/>
                <w:szCs w:val="20"/>
              </w:rPr>
              <w:t xml:space="preserve">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trPr/>
        <w:tc>
          <w:tcPr>
            <w:tcW w:w="1793" w:type="pct"/>
            <w:vAlign w:val="top"/>
            <w:vMerge w:val="restart"/>
          </w:tcPr>
          <w:p>
            <w:pPr>
              <w:jc w:val="left"/>
              <w:spacing w:before="120" w:after="45" w:line="240" w:lineRule="auto"/>
            </w:pPr>
            <w:r>
              <w:rPr>
                <w:sz w:val="20"/>
                <w:szCs w:val="20"/>
              </w:rPr>
              <w:t xml:space="preserve">11. Принятие решения о разделении именных приватизационных чеков «Жилье»</w:t>
            </w:r>
          </w:p>
        </w:tc>
        <w:tc>
          <w:tcPr>
            <w:tcW w:w="831" w:type="pct"/>
            <w:vAlign w:val="top"/>
            <w:vMerge w:val="restart"/>
          </w:tcPr>
          <w:p>
            <w:pPr>
              <w:jc w:val="left"/>
              <w:spacing w:before="120" w:after="45" w:line="240" w:lineRule="auto"/>
            </w:pPr>
            <w:r>
              <w:rPr>
                <w:sz w:val="20"/>
                <w:szCs w:val="20"/>
              </w:rPr>
              <w:t xml:space="preserve">подпункт 1.1.11 пункта 1.1</w:t>
            </w:r>
          </w:p>
        </w:tc>
        <w:tc>
          <w:tcPr>
            <w:tcW w:w="2376" w:type="pct"/>
            <w:vAlign w:val="top"/>
            <w:vMerge w:val="restart"/>
          </w:tcPr>
          <w:p>
            <w:pPr>
              <w:jc w:val="left"/>
              <w:spacing w:before="120" w:after="45" w:line="240" w:lineRule="auto"/>
            </w:pPr>
            <w:r>
              <w:rPr>
                <w:sz w:val="20"/>
                <w:szCs w:val="20"/>
              </w:rPr>
              <w:t xml:space="preserve">справка о начисленной жилищной квоте</w:t>
            </w:r>
          </w:p>
        </w:tc>
      </w:tr>
      <w:tr>
        <w:trPr/>
        <w:tc>
          <w:tcPr>
            <w:tcW w:w="1793" w:type="pct"/>
            <w:vAlign w:val="top"/>
            <w:vMerge w:val="restart"/>
          </w:tcPr>
          <w:p>
            <w:pPr>
              <w:jc w:val="left"/>
              <w:spacing w:before="120" w:after="45" w:line="240" w:lineRule="auto"/>
            </w:pPr>
            <w:r>
              <w:rPr>
                <w:sz w:val="20"/>
                <w:szCs w:val="20"/>
              </w:rPr>
              <w:t xml:space="preserve">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31" w:type="pct"/>
            <w:vAlign w:val="top"/>
            <w:vMerge w:val="restart"/>
          </w:tcPr>
          <w:p>
            <w:pPr>
              <w:jc w:val="left"/>
              <w:spacing w:before="120" w:after="45" w:line="240" w:lineRule="auto"/>
            </w:pPr>
            <w:r>
              <w:rPr>
                <w:sz w:val="20"/>
                <w:szCs w:val="20"/>
              </w:rPr>
              <w:t xml:space="preserve">подпункт 1.1.12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13. Принятие решения об изменении договора найма жилого помещения государственного жилищного фонда:</w:t>
            </w:r>
          </w:p>
        </w:tc>
        <w:tc>
          <w:tcPr>
            <w:tcW w:w="831" w:type="pct"/>
            <w:vAlign w:val="top"/>
            <w:vMerge w:val="restart"/>
          </w:tcPr>
          <w:p>
            <w:pPr>
              <w:jc w:val="left"/>
              <w:spacing w:before="120" w:after="45" w:line="240" w:lineRule="auto"/>
            </w:pPr>
            <w:r>
              <w:rPr>
                <w:sz w:val="20"/>
                <w:szCs w:val="20"/>
              </w:rPr>
              <w:t xml:space="preserve">подпункт 1.1.13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trPr/>
        <w:tc>
          <w:tcPr>
            <w:tcW w:w="1793" w:type="pct"/>
            <w:vAlign w:val="top"/>
            <w:vMerge w:val="restart"/>
          </w:tcPr>
          <w:p>
            <w:pPr>
              <w:jc w:val="left"/>
              <w:ind w:left="282.96462942132" w:right="0"/>
              <w:spacing w:before="120" w:after="45" w:line="240" w:lineRule="auto"/>
            </w:pPr>
            <w:r>
              <w:rPr>
                <w:sz w:val="20"/>
                <w:szCs w:val="20"/>
              </w:rPr>
              <w:t xml:space="preserve">по требованию нанимателей, объединяющихся в одну семью</w:t>
            </w:r>
          </w:p>
          <w:p>
            <w:pPr>
              <w:jc w:val="left"/>
              <w:ind w:left="282.96462942132" w:right="0"/>
              <w:spacing w:before="120" w:after="45" w:line="240" w:lineRule="auto"/>
            </w:pPr>
            <w:r>
              <w:rPr>
                <w:sz w:val="20"/>
                <w:szCs w:val="20"/>
              </w:rPr>
              <w:t xml:space="preserve">вследствие признания нанимателем другого члена семьи</w:t>
            </w:r>
          </w:p>
          <w:p>
            <w:pPr>
              <w:jc w:val="left"/>
              <w:ind w:left="282.96462942132" w:right="0"/>
              <w:spacing w:before="120" w:after="45" w:line="240" w:lineRule="auto"/>
            </w:pPr>
            <w:r>
              <w:rPr>
                <w:sz w:val="20"/>
                <w:szCs w:val="20"/>
              </w:rPr>
              <w:t xml:space="preserve">по требованию члена семьи нанимателя</w:t>
            </w:r>
          </w:p>
        </w:tc>
        <w:tc>
          <w:tcPr>
            <w:vMerge w:val="continue"/>
          </w:tcPr>
          <w:p/>
        </w:tc>
      </w:tr>
      <w:tr>
        <w:trPr/>
        <w:tc>
          <w:tcPr>
            <w:tcW w:w="1793" w:type="pct"/>
            <w:vAlign w:val="top"/>
            <w:vMerge w:val="restart"/>
          </w:tcPr>
          <w:p>
            <w:pPr>
              <w:jc w:val="left"/>
              <w:spacing w:before="120" w:after="45" w:line="240" w:lineRule="auto"/>
            </w:pPr>
            <w:r>
              <w:rPr>
                <w:sz w:val="20"/>
                <w:szCs w:val="20"/>
              </w:rPr>
              <w:t xml:space="preserve">14. Принятие решения о переводе жилого помещения в нежилое</w:t>
            </w:r>
          </w:p>
        </w:tc>
        <w:tc>
          <w:tcPr>
            <w:tcW w:w="831" w:type="pct"/>
            <w:vAlign w:val="top"/>
            <w:vMerge w:val="restart"/>
          </w:tcPr>
          <w:p>
            <w:pPr>
              <w:jc w:val="left"/>
              <w:spacing w:before="120" w:after="45" w:line="240" w:lineRule="auto"/>
            </w:pPr>
            <w:r>
              <w:rPr>
                <w:sz w:val="20"/>
                <w:szCs w:val="20"/>
              </w:rPr>
              <w:t xml:space="preserve">подпункт 1.1.14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w:t>
            </w:r>
          </w:p>
          <w:p>
            <w:pPr>
              <w:jc w:val="left"/>
              <w:spacing w:before="120" w:after="45" w:line="240" w:lineRule="auto"/>
            </w:pPr>
            <w:r>
              <w:rPr>
                <w:sz w:val="20"/>
                <w:szCs w:val="20"/>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pPr>
              <w:jc w:val="left"/>
              <w:spacing w:before="120" w:after="45" w:line="240" w:lineRule="auto"/>
            </w:pPr>
            <w:r>
              <w:rPr>
                <w:sz w:val="20"/>
                <w:szCs w:val="20"/>
              </w:rPr>
              <w:t xml:space="preserve">копия охранного обязательства, если помещение расположено в здании, имеющем статус историко-культурной ценности</w:t>
            </w:r>
          </w:p>
        </w:tc>
      </w:tr>
      <w:tr>
        <w:trPr/>
        <w:tc>
          <w:tcPr>
            <w:tcW w:w="1793" w:type="pct"/>
            <w:vAlign w:val="top"/>
            <w:vMerge w:val="restart"/>
          </w:tcPr>
          <w:p>
            <w:pPr>
              <w:jc w:val="left"/>
              <w:spacing w:before="120" w:after="45" w:line="240" w:lineRule="auto"/>
            </w:pPr>
            <w:r>
              <w:rPr>
                <w:sz w:val="20"/>
                <w:szCs w:val="20"/>
              </w:rPr>
              <w:t xml:space="preserve">15. Принятие решения о переводе нежилого помещения в жилое</w:t>
            </w:r>
          </w:p>
        </w:tc>
        <w:tc>
          <w:tcPr>
            <w:tcW w:w="831" w:type="pct"/>
            <w:vAlign w:val="top"/>
            <w:vMerge w:val="restart"/>
          </w:tcPr>
          <w:p>
            <w:pPr>
              <w:jc w:val="left"/>
              <w:spacing w:before="120" w:after="45" w:line="240" w:lineRule="auto"/>
            </w:pPr>
            <w:r>
              <w:rPr>
                <w:sz w:val="20"/>
                <w:szCs w:val="20"/>
              </w:rPr>
              <w:t xml:space="preserve">подпункт 1.1.15</w:t>
            </w:r>
            <w:r>
              <w:rPr>
                <w:sz w:val="20"/>
                <w:szCs w:val="20"/>
                <w:vertAlign w:val="superscript"/>
              </w:rPr>
              <w:t xml:space="preserve">1</w:t>
            </w:r>
            <w:r>
              <w:rPr>
                <w:sz w:val="20"/>
                <w:szCs w:val="20"/>
              </w:rPr>
              <w:t xml:space="preserve"> пункта 1.1</w:t>
            </w:r>
          </w:p>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капитальное строение**</w:t>
            </w:r>
          </w:p>
          <w:p>
            <w:pPr>
              <w:jc w:val="left"/>
              <w:spacing w:before="120" w:after="45" w:line="240" w:lineRule="auto"/>
            </w:pPr>
            <w:r>
              <w:rPr>
                <w:sz w:val="20"/>
                <w:szCs w:val="20"/>
              </w:rPr>
              <w:t xml:space="preserve">копия охранного обязательства, если помещение расположено в здании, имеющем статус историко-культурной ценности</w:t>
            </w:r>
          </w:p>
        </w:tc>
      </w:tr>
      <w:tr>
        <w:trPr/>
        <w:tc>
          <w:tcPr>
            <w:tcW w:w="1793" w:type="pct"/>
            <w:vAlign w:val="top"/>
            <w:vMerge w:val="restart"/>
          </w:tcPr>
          <w:p>
            <w:pPr>
              <w:jc w:val="left"/>
              <w:spacing w:before="120" w:after="45" w:line="240" w:lineRule="auto"/>
            </w:pPr>
            <w:r>
              <w:rPr>
                <w:sz w:val="20"/>
                <w:szCs w:val="20"/>
              </w:rPr>
              <w:t xml:space="preserve">16. Принятие решения о сносе непригодного для проживания жилого помещения</w:t>
            </w:r>
          </w:p>
        </w:tc>
        <w:tc>
          <w:tcPr>
            <w:tcW w:w="831" w:type="pct"/>
            <w:vAlign w:val="top"/>
            <w:vMerge w:val="restart"/>
          </w:tcPr>
          <w:p>
            <w:pPr>
              <w:jc w:val="left"/>
              <w:spacing w:before="120" w:after="45" w:line="240" w:lineRule="auto"/>
            </w:pPr>
            <w:r>
              <w:rPr>
                <w:sz w:val="20"/>
                <w:szCs w:val="20"/>
              </w:rPr>
              <w:t xml:space="preserve">подпункт 1.1.16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выписка из регистрационной книги о правах, ограничениях (обременениях) прав на капитальное строение**</w:t>
            </w:r>
          </w:p>
          <w:p>
            <w:pPr>
              <w:jc w:val="left"/>
              <w:spacing w:before="120" w:after="45" w:line="240" w:lineRule="auto"/>
            </w:pPr>
            <w:r>
              <w:rPr>
                <w:sz w:val="20"/>
                <w:szCs w:val="20"/>
              </w:rPr>
              <w:t xml:space="preserve">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trPr/>
        <w:tc>
          <w:tcPr>
            <w:tcW w:w="1793" w:type="pct"/>
            <w:vAlign w:val="top"/>
            <w:vMerge w:val="restart"/>
          </w:tcPr>
          <w:p>
            <w:pPr>
              <w:jc w:val="left"/>
              <w:spacing w:before="120" w:after="45" w:line="240" w:lineRule="auto"/>
            </w:pPr>
            <w:r>
              <w:rPr>
                <w:sz w:val="20"/>
                <w:szCs w:val="20"/>
              </w:rPr>
              <w:t xml:space="preserve">17. Принятие решения о согласовании использования не по назначению одноквартирного, блокированного жилого дома или его части</w:t>
            </w:r>
          </w:p>
        </w:tc>
        <w:tc>
          <w:tcPr>
            <w:tcW w:w="831" w:type="pct"/>
            <w:vAlign w:val="top"/>
            <w:vMerge w:val="restart"/>
          </w:tcPr>
          <w:p>
            <w:pPr>
              <w:jc w:val="left"/>
              <w:spacing w:before="120" w:after="45" w:line="240" w:lineRule="auto"/>
            </w:pPr>
            <w:r>
              <w:rPr>
                <w:sz w:val="20"/>
                <w:szCs w:val="20"/>
              </w:rPr>
              <w:t xml:space="preserve">подпункт 1.1.17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18. Принятие решения о предоставлении арендного жилья</w:t>
            </w:r>
          </w:p>
        </w:tc>
        <w:tc>
          <w:tcPr>
            <w:tcW w:w="831" w:type="pct"/>
            <w:vAlign w:val="top"/>
            <w:vMerge w:val="restart"/>
          </w:tcPr>
          <w:p>
            <w:pPr>
              <w:jc w:val="left"/>
              <w:spacing w:before="120" w:after="45" w:line="240" w:lineRule="auto"/>
            </w:pPr>
            <w:r>
              <w:rPr>
                <w:sz w:val="20"/>
                <w:szCs w:val="20"/>
              </w:rPr>
              <w:t xml:space="preserve">подпункт 1.1.18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 – для нуждающихся в улучшении жилищных условий</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pPr>
              <w:jc w:val="left"/>
              <w:spacing w:before="120" w:after="45" w:line="240" w:lineRule="auto"/>
            </w:pPr>
            <w:r>
              <w:rPr>
                <w:sz w:val="20"/>
                <w:szCs w:val="20"/>
              </w:rPr>
              <w:t xml:space="preserve">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
        </w:tc>
      </w:tr>
      <w:tr>
        <w:trPr/>
        <w:tc>
          <w:tcPr>
            <w:tcW w:w="1793" w:type="pct"/>
            <w:vAlign w:val="top"/>
            <w:vMerge w:val="restart"/>
          </w:tcPr>
          <w:p>
            <w:pPr>
              <w:jc w:val="left"/>
              <w:spacing w:before="120" w:after="45" w:line="240" w:lineRule="auto"/>
            </w:pPr>
            <w:r>
              <w:rPr>
                <w:sz w:val="20"/>
                <w:szCs w:val="20"/>
              </w:rPr>
              <w:t xml:space="preserve">19. Принятие решения о включении арендного жилья в состав жилых помещений социального пользования</w:t>
            </w:r>
          </w:p>
        </w:tc>
        <w:tc>
          <w:tcPr>
            <w:tcW w:w="831" w:type="pct"/>
            <w:vAlign w:val="top"/>
            <w:vMerge w:val="restart"/>
          </w:tcPr>
          <w:p>
            <w:pPr>
              <w:jc w:val="left"/>
              <w:spacing w:before="120" w:after="45" w:line="240" w:lineRule="auto"/>
            </w:pPr>
            <w:r>
              <w:rPr>
                <w:sz w:val="20"/>
                <w:szCs w:val="20"/>
              </w:rPr>
              <w:t xml:space="preserve">подпункт 1.1.18</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trPr/>
        <w:tc>
          <w:tcPr>
            <w:tcW w:w="1793" w:type="pct"/>
            <w:vAlign w:val="top"/>
            <w:vMerge w:val="restart"/>
          </w:tcPr>
          <w:p>
            <w:pPr>
              <w:jc w:val="left"/>
              <w:spacing w:before="120" w:after="45" w:line="240" w:lineRule="auto"/>
            </w:pPr>
            <w:r>
              <w:rPr>
                <w:sz w:val="20"/>
                <w:szCs w:val="20"/>
              </w:rPr>
              <w:t xml:space="preserve">20. Принятие решения о предоставлении освободившейся жилой комнаты государственного жилищного фонда</w:t>
            </w:r>
          </w:p>
        </w:tc>
        <w:tc>
          <w:tcPr>
            <w:tcW w:w="831" w:type="pct"/>
            <w:vAlign w:val="top"/>
            <w:vMerge w:val="restart"/>
          </w:tcPr>
          <w:p>
            <w:pPr>
              <w:jc w:val="left"/>
              <w:spacing w:before="120" w:after="45" w:line="240" w:lineRule="auto"/>
            </w:pPr>
            <w:r>
              <w:rPr>
                <w:sz w:val="20"/>
                <w:szCs w:val="20"/>
              </w:rPr>
              <w:t xml:space="preserve">подпункт 1.1.19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trPr/>
        <w:tc>
          <w:tcPr>
            <w:tcW w:w="1793" w:type="pct"/>
            <w:vAlign w:val="top"/>
            <w:vMerge w:val="restart"/>
          </w:tcPr>
          <w:p>
            <w:pPr>
              <w:jc w:val="left"/>
              <w:spacing w:before="120" w:after="45" w:line="240" w:lineRule="auto"/>
            </w:pPr>
            <w:r>
              <w:rPr>
                <w:sz w:val="20"/>
                <w:szCs w:val="20"/>
              </w:rPr>
              <w:t xml:space="preserve">21. Принятие решения о предоставлении жилого помещения государственного жилищного фонда меньшего размера взамен занимаемого</w:t>
            </w:r>
          </w:p>
        </w:tc>
        <w:tc>
          <w:tcPr>
            <w:tcW w:w="831" w:type="pct"/>
            <w:vAlign w:val="top"/>
            <w:vMerge w:val="restart"/>
          </w:tcPr>
          <w:p>
            <w:pPr>
              <w:jc w:val="left"/>
              <w:spacing w:before="120" w:after="45" w:line="240" w:lineRule="auto"/>
            </w:pPr>
            <w:r>
              <w:rPr>
                <w:sz w:val="20"/>
                <w:szCs w:val="20"/>
              </w:rPr>
              <w:t xml:space="preserve">подпункт 1.1.20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trPr/>
        <w:tc>
          <w:tcPr>
            <w:tcW w:w="1793" w:type="pct"/>
            <w:vAlign w:val="top"/>
            <w:vMerge w:val="restart"/>
          </w:tcPr>
          <w:p>
            <w:pPr>
              <w:jc w:val="left"/>
              <w:spacing w:before="120" w:after="45" w:line="240" w:lineRule="auto"/>
            </w:pPr>
            <w:r>
              <w:rPr>
                <w:sz w:val="20"/>
                <w:szCs w:val="20"/>
              </w:rPr>
              <w:t xml:space="preserve">22. Принятие решения о согласовании (разрешении) переустройства и (или) перепланировки жилого помещения, нежилого помещения в жилом доме</w:t>
            </w:r>
          </w:p>
        </w:tc>
        <w:tc>
          <w:tcPr>
            <w:tcW w:w="831" w:type="pct"/>
            <w:vAlign w:val="top"/>
            <w:vMerge w:val="restart"/>
          </w:tcPr>
          <w:p>
            <w:pPr>
              <w:jc w:val="left"/>
              <w:spacing w:before="120" w:after="45" w:line="240" w:lineRule="auto"/>
            </w:pPr>
            <w:r>
              <w:rPr>
                <w:sz w:val="20"/>
                <w:szCs w:val="20"/>
              </w:rPr>
              <w:t xml:space="preserve">подпункт 1.1.21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31" w:type="pct"/>
            <w:vAlign w:val="top"/>
            <w:vMerge w:val="restart"/>
          </w:tcPr>
          <w:p>
            <w:pPr>
              <w:jc w:val="left"/>
              <w:spacing w:before="120" w:after="45" w:line="240" w:lineRule="auto"/>
            </w:pPr>
            <w:r>
              <w:rPr>
                <w:sz w:val="20"/>
                <w:szCs w:val="20"/>
              </w:rPr>
              <w:t xml:space="preserve">подпункт 1.1.21</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24. Принятие решения о передаче в собственность жилого помещения</w:t>
            </w:r>
          </w:p>
        </w:tc>
        <w:tc>
          <w:tcPr>
            <w:tcW w:w="831" w:type="pct"/>
            <w:vAlign w:val="top"/>
            <w:vMerge w:val="restart"/>
          </w:tcPr>
          <w:p>
            <w:pPr>
              <w:jc w:val="left"/>
              <w:spacing w:before="120" w:after="45" w:line="240" w:lineRule="auto"/>
            </w:pPr>
            <w:r>
              <w:rPr>
                <w:sz w:val="20"/>
                <w:szCs w:val="20"/>
              </w:rPr>
              <w:t xml:space="preserve">подпункт 1.1.22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копия лицевого счета</w:t>
            </w:r>
          </w:p>
          <w:p>
            <w:pPr>
              <w:jc w:val="left"/>
              <w:spacing w:before="120" w:after="45" w:line="240" w:lineRule="auto"/>
            </w:pPr>
            <w:r>
              <w:rPr>
                <w:sz w:val="20"/>
                <w:szCs w:val="20"/>
              </w:rPr>
              <w:t xml:space="preserve">договор найма передаваемого в собственность жилого помещения</w:t>
            </w:r>
          </w:p>
          <w:p>
            <w:pPr>
              <w:jc w:val="left"/>
              <w:spacing w:before="120" w:after="45" w:line="240" w:lineRule="auto"/>
            </w:pPr>
            <w:r>
              <w:rPr>
                <w:sz w:val="20"/>
                <w:szCs w:val="20"/>
              </w:rPr>
              <w:t xml:space="preserve">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pPr>
              <w:jc w:val="left"/>
              <w:spacing w:before="120" w:after="45" w:line="240" w:lineRule="auto"/>
            </w:pPr>
            <w:r>
              <w:rPr>
                <w:sz w:val="20"/>
                <w:szCs w:val="20"/>
              </w:rPr>
              <w:t xml:space="preserve">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справка о правах на объекты недвижимого имущества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сведения, подтверждающие факт гибели (смерти) военнослужащего, лица рядового и начальствующего состава в связи с исполнением (осуществлением)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приобретение в собственность арендного жилья членами семьи погибшего (умершего) военнослужащего, лица рядового и начальствующего состава</w:t>
            </w:r>
          </w:p>
          <w:p>
            <w:pPr>
              <w:jc w:val="left"/>
              <w:spacing w:before="120" w:after="45" w:line="240" w:lineRule="auto"/>
            </w:pPr>
            <w:r>
              <w:rPr>
                <w:sz w:val="20"/>
                <w:szCs w:val="20"/>
              </w:rPr>
              <w:t xml:space="preserve">заключения и отчеты о независимой оценке рыночной и оценочной стоимости передаваемого в собственность на возмездной основе жилого помещения</w:t>
            </w:r>
          </w:p>
          <w:p>
            <w:pPr>
              <w:jc w:val="left"/>
              <w:spacing w:before="120" w:after="45" w:line="240" w:lineRule="auto"/>
            </w:pPr>
            <w:r>
              <w:rPr>
                <w:sz w:val="20"/>
                <w:szCs w:val="20"/>
              </w:rPr>
              <w:t xml:space="preserve">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pPr>
              <w:jc w:val="left"/>
              <w:spacing w:before="120" w:after="45" w:line="240" w:lineRule="auto"/>
            </w:pPr>
            <w:r>
              <w:rPr>
                <w:sz w:val="20"/>
                <w:szCs w:val="20"/>
              </w:rPr>
              <w:t xml:space="preserve">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pPr>
              <w:jc w:val="left"/>
              <w:spacing w:before="120" w:after="45" w:line="240" w:lineRule="auto"/>
            </w:pPr>
            <w:r>
              <w:rPr>
                <w:sz w:val="20"/>
                <w:szCs w:val="20"/>
              </w:rPr>
              <w:t xml:space="preserve">информация из единой базы данных, предусмотренной в части первой пункта 101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trPr/>
        <w:tc>
          <w:tcPr>
            <w:tcW w:w="1793" w:type="pct"/>
            <w:vAlign w:val="top"/>
            <w:vMerge w:val="restart"/>
          </w:tcPr>
          <w:p>
            <w:pPr>
              <w:jc w:val="left"/>
              <w:spacing w:before="120" w:after="45" w:line="240" w:lineRule="auto"/>
            </w:pPr>
            <w:r>
              <w:rPr>
                <w:sz w:val="20"/>
                <w:szCs w:val="20"/>
              </w:rPr>
              <w:t xml:space="preserve">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31" w:type="pct"/>
            <w:vAlign w:val="top"/>
            <w:vMerge w:val="restart"/>
          </w:tcPr>
          <w:p>
            <w:pPr>
              <w:jc w:val="left"/>
              <w:spacing w:before="120" w:after="45" w:line="240" w:lineRule="auto"/>
            </w:pPr>
            <w:r>
              <w:rPr>
                <w:sz w:val="20"/>
                <w:szCs w:val="20"/>
              </w:rPr>
              <w:t xml:space="preserve">подпункт 1.1.23 пункта 1.1</w:t>
            </w:r>
          </w:p>
        </w:tc>
        <w:tc>
          <w:tcPr>
            <w:tcW w:w="2376" w:type="pct"/>
            <w:vAlign w:val="top"/>
            <w:vMerge w:val="restart"/>
          </w:tcPr>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trPr/>
        <w:tc>
          <w:tcPr>
            <w:tcW w:w="1793" w:type="pct"/>
            <w:vAlign w:val="top"/>
            <w:vMerge w:val="restart"/>
          </w:tcPr>
          <w:p>
            <w:pPr>
              <w:jc w:val="left"/>
              <w:spacing w:before="120" w:after="45" w:line="240" w:lineRule="auto"/>
            </w:pPr>
            <w:r>
              <w:rPr>
                <w:sz w:val="20"/>
                <w:szCs w:val="20"/>
              </w:rPr>
              <w:t xml:space="preserve">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31" w:type="pct"/>
            <w:vAlign w:val="top"/>
            <w:vMerge w:val="restart"/>
          </w:tcPr>
          <w:p>
            <w:pPr>
              <w:jc w:val="left"/>
              <w:spacing w:before="120" w:after="45" w:line="240" w:lineRule="auto"/>
            </w:pPr>
            <w:r>
              <w:rPr>
                <w:sz w:val="20"/>
                <w:szCs w:val="20"/>
              </w:rPr>
              <w:t xml:space="preserve">подпункт 1.1.23</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справка о правах гражданина и членов его семьи на объекты недвижимого имущества**</w:t>
            </w:r>
          </w:p>
        </w:tc>
      </w:tr>
      <w:tr>
        <w:trPr/>
        <w:tc>
          <w:tcPr>
            <w:tcW w:w="1793" w:type="pct"/>
            <w:vAlign w:val="top"/>
            <w:vMerge w:val="restart"/>
          </w:tcPr>
          <w:p>
            <w:pPr>
              <w:jc w:val="left"/>
              <w:spacing w:before="120" w:after="45" w:line="240" w:lineRule="auto"/>
            </w:pPr>
            <w:r>
              <w:rPr>
                <w:sz w:val="20"/>
                <w:szCs w:val="20"/>
              </w:rPr>
              <w:t xml:space="preserve">27. Принятие решения о предоставлении одноразовой субсидии на строительство (реконструкцию) или приобретение жилого помещения</w:t>
            </w:r>
          </w:p>
        </w:tc>
        <w:tc>
          <w:tcPr>
            <w:tcW w:w="831" w:type="pct"/>
            <w:vAlign w:val="top"/>
            <w:vMerge w:val="restart"/>
          </w:tcPr>
          <w:p>
            <w:pPr>
              <w:jc w:val="left"/>
              <w:spacing w:before="120" w:after="45" w:line="240" w:lineRule="auto"/>
            </w:pPr>
            <w:r>
              <w:rPr>
                <w:sz w:val="20"/>
                <w:szCs w:val="20"/>
              </w:rPr>
              <w:t xml:space="preserve">подпункт 1.1.24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справка о правах гражданина и членов его семьи на объекты недвижимого имущества**</w:t>
            </w:r>
          </w:p>
          <w:p>
            <w:pPr>
              <w:jc w:val="left"/>
              <w:spacing w:before="120" w:after="45" w:line="240" w:lineRule="auto"/>
            </w:pPr>
            <w:r>
              <w:rPr>
                <w:sz w:val="20"/>
                <w:szCs w:val="20"/>
              </w:rPr>
              <w:t xml:space="preserve">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pPr>
              <w:jc w:val="left"/>
              <w:spacing w:before="120" w:after="45" w:line="240" w:lineRule="auto"/>
            </w:pPr>
            <w:r>
              <w:rPr>
                <w:sz w:val="20"/>
                <w:szCs w:val="20"/>
              </w:rPr>
              <w:t xml:space="preserve">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pPr>
              <w:jc w:val="left"/>
              <w:spacing w:before="120" w:after="45" w:line="240" w:lineRule="auto"/>
            </w:pPr>
            <w:r>
              <w:rPr>
                <w:sz w:val="20"/>
                <w:szCs w:val="20"/>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ind w:left="282.96462942132" w:right="0"/>
              <w:spacing w:before="120" w:after="45" w:line="240" w:lineRule="auto"/>
            </w:pPr>
            <w:r>
              <w:rPr>
                <w:sz w:val="20"/>
                <w:szCs w:val="20"/>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r>
        <w:trPr/>
        <w:tc>
          <w:tcPr>
            <w:tcW w:w="1793" w:type="pct"/>
            <w:vAlign w:val="top"/>
            <w:vMerge w:val="restart"/>
          </w:tcPr>
          <w:p>
            <w:pPr>
              <w:jc w:val="left"/>
              <w:spacing w:before="120" w:after="45" w:line="240" w:lineRule="auto"/>
            </w:pPr>
            <w:r>
              <w:rPr>
                <w:sz w:val="20"/>
                <w:szCs w:val="20"/>
              </w:rPr>
              <w:t xml:space="preserve">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1.1.28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1.1.31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pPr>
              <w:jc w:val="left"/>
              <w:spacing w:before="120" w:after="45" w:line="240" w:lineRule="auto"/>
            </w:pPr>
            <w:r>
              <w:rPr>
                <w:sz w:val="20"/>
                <w:szCs w:val="20"/>
              </w:rPr>
              <w:t xml:space="preserve">справки о правах получателя субсидии на уплату части процентов (субсидий) и членов его семьи на объекты недвижимого имущества**</w:t>
            </w:r>
          </w:p>
          <w:p>
            <w:pPr>
              <w:jc w:val="left"/>
              <w:spacing w:before="120" w:after="45" w:line="240" w:lineRule="auto"/>
            </w:pPr>
            <w:r>
              <w:rPr>
                <w:sz w:val="20"/>
                <w:szCs w:val="20"/>
              </w:rPr>
              <w:t xml:space="preserve">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pPr>
              <w:jc w:val="left"/>
              <w:spacing w:before="120" w:after="45" w:line="240" w:lineRule="auto"/>
            </w:pPr>
            <w:r>
              <w:rPr>
                <w:sz w:val="20"/>
                <w:szCs w:val="20"/>
              </w:rPr>
              <w:t xml:space="preserve">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pPr>
              <w:jc w:val="left"/>
              <w:spacing w:before="120" w:after="45" w:line="240" w:lineRule="auto"/>
            </w:pPr>
            <w:r>
              <w:rPr>
                <w:sz w:val="20"/>
                <w:szCs w:val="20"/>
              </w:rPr>
              <w:t xml:space="preserve">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pPr>
              <w:jc w:val="left"/>
              <w:spacing w:before="120" w:after="45" w:line="240" w:lineRule="auto"/>
            </w:pPr>
            <w:r>
              <w:rPr>
                <w:sz w:val="20"/>
                <w:szCs w:val="20"/>
              </w:rPr>
              <w:t xml:space="preserve">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pPr>
              <w:jc w:val="left"/>
              <w:spacing w:before="120" w:after="45" w:line="240" w:lineRule="auto"/>
            </w:pPr>
            <w:r>
              <w:rPr>
                <w:sz w:val="20"/>
                <w:szCs w:val="20"/>
              </w:rPr>
              <w:t xml:space="preserve">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pPr>
              <w:jc w:val="left"/>
              <w:spacing w:before="120" w:after="45" w:line="240" w:lineRule="auto"/>
            </w:pPr>
            <w:r>
              <w:rPr>
                <w:sz w:val="20"/>
                <w:szCs w:val="20"/>
              </w:rPr>
              <w:t xml:space="preserve">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pPr>
              <w:jc w:val="left"/>
              <w:spacing w:before="120" w:after="45" w:line="240" w:lineRule="auto"/>
            </w:pPr>
            <w:r>
              <w:rPr>
                <w:sz w:val="20"/>
                <w:szCs w:val="20"/>
              </w:rPr>
              <w:t xml:space="preserve">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информация из единой базы данных, предусмотренной в части первой пункта 10</w:t>
            </w:r>
            <w:r>
              <w:rPr>
                <w:sz w:val="20"/>
                <w:szCs w:val="20"/>
                <w:vertAlign w:val="superscript"/>
              </w:rPr>
              <w:t xml:space="preserve">1</w:t>
            </w:r>
            <w:r>
              <w:rPr>
                <w:sz w:val="20"/>
                <w:szCs w:val="20"/>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r>
        <w:trPr/>
        <w:tc>
          <w:tcPr>
            <w:tcW w:w="1793" w:type="pct"/>
            <w:vAlign w:val="top"/>
            <w:vMerge w:val="restart"/>
          </w:tcPr>
          <w:p>
            <w:pPr>
              <w:jc w:val="left"/>
              <w:spacing w:before="120" w:after="45" w:line="240" w:lineRule="auto"/>
            </w:pPr>
            <w:r>
              <w:rPr>
                <w:sz w:val="20"/>
                <w:szCs w:val="20"/>
              </w:rPr>
              <w:t xml:space="preserve">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1.1.32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trPr/>
        <w:tc>
          <w:tcPr>
            <w:tcW w:w="1793" w:type="pct"/>
            <w:vAlign w:val="top"/>
            <w:vMerge w:val="restart"/>
          </w:tcPr>
          <w:p>
            <w:pPr>
              <w:jc w:val="left"/>
              <w:spacing w:before="120" w:after="45" w:line="240" w:lineRule="auto"/>
            </w:pPr>
            <w:r>
              <w:rPr>
                <w:sz w:val="20"/>
                <w:szCs w:val="20"/>
              </w:rPr>
              <w:t xml:space="preserve">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831" w:type="pct"/>
            <w:vAlign w:val="top"/>
            <w:vMerge w:val="restart"/>
          </w:tcPr>
          <w:p>
            <w:pPr>
              <w:jc w:val="left"/>
              <w:spacing w:before="120" w:after="45" w:line="240" w:lineRule="auto"/>
            </w:pPr>
            <w:r>
              <w:rPr>
                <w:sz w:val="20"/>
                <w:szCs w:val="20"/>
              </w:rPr>
              <w:t xml:space="preserve">подпункт 1.1.33 пункта 1.1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31" w:type="pct"/>
            <w:vAlign w:val="top"/>
            <w:vMerge w:val="restart"/>
          </w:tcPr>
          <w:p>
            <w:pPr>
              <w:jc w:val="left"/>
              <w:spacing w:before="120" w:after="45" w:line="240" w:lineRule="auto"/>
            </w:pPr>
            <w:r>
              <w:rPr>
                <w:sz w:val="20"/>
                <w:szCs w:val="20"/>
              </w:rPr>
              <w:t xml:space="preserve">пункт 1.5</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регистрации в другом населенном пункте</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семьи по месту подачи заявления**</w:t>
            </w:r>
          </w:p>
        </w:tc>
      </w:tr>
      <w:tr>
        <w:trPr/>
        <w:tc>
          <w:tcPr>
            <w:tcW w:w="1793" w:type="pct"/>
            <w:vAlign w:val="top"/>
            <w:vMerge w:val="restart"/>
          </w:tcPr>
          <w:p>
            <w:pPr>
              <w:jc w:val="left"/>
              <w:spacing w:before="120" w:after="45" w:line="240" w:lineRule="auto"/>
            </w:pPr>
            <w:r>
              <w:rPr>
                <w:sz w:val="20"/>
                <w:szCs w:val="20"/>
              </w:rPr>
              <w:t xml:space="preserve">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31" w:type="pct"/>
            <w:vAlign w:val="top"/>
            <w:vMerge w:val="restart"/>
          </w:tcPr>
          <w:p>
            <w:pPr>
              <w:jc w:val="left"/>
              <w:spacing w:before="120" w:after="45" w:line="240" w:lineRule="auto"/>
            </w:pPr>
            <w:r>
              <w:rPr>
                <w:sz w:val="20"/>
                <w:szCs w:val="20"/>
              </w:rPr>
              <w:t xml:space="preserve">пункт 1.6</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pPr>
              <w:jc w:val="left"/>
              <w:spacing w:before="120" w:after="45" w:line="240" w:lineRule="auto"/>
            </w:pPr>
            <w:r>
              <w:rPr>
                <w:sz w:val="20"/>
                <w:szCs w:val="20"/>
              </w:rPr>
              <w:t xml:space="preserve">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pPr>
              <w:jc w:val="left"/>
              <w:spacing w:before="120" w:after="45" w:line="240" w:lineRule="auto"/>
            </w:pPr>
            <w:r>
              <w:rPr>
                <w:sz w:val="20"/>
                <w:szCs w:val="20"/>
              </w:rPr>
              <w:t xml:space="preserve">справка о правах гражданина и членов его семьи на объекты недвижимого имущества**</w:t>
            </w:r>
          </w:p>
          <w:p>
            <w:pPr>
              <w:jc w:val="left"/>
              <w:spacing w:before="120" w:after="45" w:line="240" w:lineRule="auto"/>
            </w:pPr>
            <w:r>
              <w:rPr>
                <w:sz w:val="20"/>
                <w:szCs w:val="20"/>
              </w:rPr>
              <w:t xml:space="preserve">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r>
      <w:tr>
        <w:trPr/>
        <w:tc>
          <w:tcPr>
            <w:tcW w:w="1793" w:type="pct"/>
            <w:vAlign w:val="top"/>
            <w:vMerge w:val="restart"/>
          </w:tcPr>
          <w:p>
            <w:pPr>
              <w:jc w:val="left"/>
              <w:spacing w:before="120" w:after="45" w:line="240" w:lineRule="auto"/>
            </w:pPr>
            <w:r>
              <w:rPr>
                <w:sz w:val="20"/>
                <w:szCs w:val="20"/>
              </w:rPr>
              <w:t xml:space="preserve">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31" w:type="pct"/>
            <w:vAlign w:val="top"/>
            <w:vMerge w:val="restart"/>
          </w:tcPr>
          <w:p>
            <w:pPr>
              <w:jc w:val="left"/>
              <w:spacing w:before="120" w:after="45" w:line="240" w:lineRule="auto"/>
            </w:pPr>
            <w:r>
              <w:rPr>
                <w:sz w:val="20"/>
                <w:szCs w:val="20"/>
              </w:rPr>
              <w:t xml:space="preserve">пункт 1.7</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выписка из регистрационной книги о правах, ограничениях (обременениях) прав на капитальное строение или изолированное помещение**</w:t>
            </w:r>
          </w:p>
          <w:p>
            <w:pPr>
              <w:jc w:val="left"/>
              <w:spacing w:before="120" w:after="45" w:line="240" w:lineRule="auto"/>
            </w:pPr>
            <w:r>
              <w:rPr>
                <w:sz w:val="20"/>
                <w:szCs w:val="20"/>
              </w:rPr>
              <w:t xml:space="preserve">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trPr/>
        <w:tc>
          <w:tcPr>
            <w:tcW w:w="1793" w:type="pct"/>
            <w:vAlign w:val="top"/>
            <w:vMerge w:val="restart"/>
          </w:tcPr>
          <w:p>
            <w:pPr>
              <w:jc w:val="left"/>
              <w:spacing w:before="120" w:after="45" w:line="240" w:lineRule="auto"/>
            </w:pPr>
            <w:r>
              <w:rPr>
                <w:sz w:val="20"/>
                <w:szCs w:val="20"/>
              </w:rPr>
              <w:t xml:space="preserve">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31" w:type="pct"/>
            <w:vAlign w:val="top"/>
            <w:vMerge w:val="restart"/>
          </w:tcPr>
          <w:p>
            <w:pPr>
              <w:jc w:val="left"/>
              <w:spacing w:before="120" w:after="45" w:line="240" w:lineRule="auto"/>
            </w:pPr>
            <w:r>
              <w:rPr>
                <w:sz w:val="20"/>
                <w:szCs w:val="20"/>
              </w:rPr>
              <w:t xml:space="preserve">пункт 1.9</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pPr>
              <w:jc w:val="left"/>
              <w:spacing w:before="120" w:after="45" w:line="240" w:lineRule="auto"/>
            </w:pPr>
            <w:r>
              <w:rPr>
                <w:sz w:val="20"/>
                <w:szCs w:val="20"/>
              </w:rPr>
              <w:t xml:space="preserve">справка об уплате лицом, отчуждающим жилой дом, налогов, сборов (пошлин), связанных с нахождением в собственности жилого дома</w:t>
            </w:r>
          </w:p>
        </w:tc>
      </w:tr>
      <w:tr>
        <w:trPr/>
        <w:tc>
          <w:tcPr>
            <w:tcW w:w="1793" w:type="pct"/>
            <w:vAlign w:val="top"/>
            <w:vMerge w:val="restart"/>
          </w:tcPr>
          <w:p>
            <w:pPr>
              <w:jc w:val="left"/>
              <w:spacing w:before="120" w:after="45" w:line="240" w:lineRule="auto"/>
            </w:pPr>
            <w:r>
              <w:rPr>
                <w:sz w:val="20"/>
                <w:szCs w:val="20"/>
              </w:rPr>
              <w:t xml:space="preserve">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31" w:type="pct"/>
            <w:vAlign w:val="top"/>
            <w:vMerge w:val="restart"/>
          </w:tcPr>
          <w:p>
            <w:pPr>
              <w:jc w:val="left"/>
              <w:spacing w:before="120" w:after="45" w:line="240" w:lineRule="auto"/>
            </w:pPr>
            <w:r>
              <w:rPr>
                <w:sz w:val="20"/>
                <w:szCs w:val="20"/>
              </w:rPr>
              <w:t xml:space="preserve">пункт 1.13</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37. Назначение пособия в связи с рождением ребенка</w:t>
            </w:r>
          </w:p>
        </w:tc>
        <w:tc>
          <w:tcPr>
            <w:tcW w:w="831" w:type="pct"/>
            <w:vAlign w:val="top"/>
            <w:vMerge w:val="restart"/>
          </w:tcPr>
          <w:p>
            <w:pPr>
              <w:jc w:val="left"/>
              <w:spacing w:before="120" w:after="45" w:line="240" w:lineRule="auto"/>
            </w:pPr>
            <w:r>
              <w:rPr>
                <w:sz w:val="20"/>
                <w:szCs w:val="20"/>
              </w:rPr>
              <w:t xml:space="preserve">пункт 2.6</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о средней численности работников коммерческой микроорганизации</w:t>
            </w:r>
          </w:p>
        </w:tc>
      </w:tr>
      <w:tr>
        <w:trPr/>
        <w:tc>
          <w:tcPr>
            <w:tcW w:w="1793" w:type="pct"/>
            <w:vAlign w:val="top"/>
            <w:vMerge w:val="restart"/>
          </w:tcPr>
          <w:p>
            <w:pPr>
              <w:jc w:val="left"/>
              <w:spacing w:before="120" w:after="45" w:line="240" w:lineRule="auto"/>
            </w:pPr>
            <w:r>
              <w:rPr>
                <w:sz w:val="20"/>
                <w:szCs w:val="20"/>
              </w:rPr>
              <w:t xml:space="preserve">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31" w:type="pct"/>
            <w:vAlign w:val="top"/>
            <w:vMerge w:val="restart"/>
          </w:tcPr>
          <w:p>
            <w:pPr>
              <w:jc w:val="left"/>
              <w:spacing w:before="120" w:after="45" w:line="240" w:lineRule="auto"/>
            </w:pPr>
            <w:r>
              <w:rPr>
                <w:sz w:val="20"/>
                <w:szCs w:val="20"/>
              </w:rPr>
              <w:t xml:space="preserve">пункт 2.7</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39. Назначение пособия женщинам, ставшим на учет в организациях здравоохранения до 12-недельного срока беременности</w:t>
            </w:r>
          </w:p>
        </w:tc>
        <w:tc>
          <w:tcPr>
            <w:tcW w:w="831" w:type="pct"/>
            <w:vAlign w:val="top"/>
            <w:vMerge w:val="restart"/>
          </w:tcPr>
          <w:p>
            <w:pPr>
              <w:jc w:val="left"/>
              <w:spacing w:before="120" w:after="45" w:line="240" w:lineRule="auto"/>
            </w:pPr>
            <w:r>
              <w:rPr>
                <w:sz w:val="20"/>
                <w:szCs w:val="20"/>
              </w:rPr>
              <w:t xml:space="preserve">пункт 2.8</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о средней численности работников коммерческой микроорганизации</w:t>
            </w:r>
          </w:p>
        </w:tc>
      </w:tr>
      <w:tr>
        <w:trPr/>
        <w:tc>
          <w:tcPr>
            <w:tcW w:w="1793" w:type="pct"/>
            <w:vAlign w:val="top"/>
            <w:vMerge w:val="restart"/>
          </w:tcPr>
          <w:p>
            <w:pPr>
              <w:jc w:val="left"/>
              <w:spacing w:before="120" w:after="45" w:line="240" w:lineRule="auto"/>
            </w:pPr>
            <w:r>
              <w:rPr>
                <w:sz w:val="20"/>
                <w:szCs w:val="20"/>
              </w:rPr>
              <w:t xml:space="preserve">40. Назначение пособия по уходу за ребенком в возрасте до 3 лет</w:t>
            </w:r>
          </w:p>
        </w:tc>
        <w:tc>
          <w:tcPr>
            <w:tcW w:w="831" w:type="pct"/>
            <w:vAlign w:val="top"/>
            <w:vMerge w:val="restart"/>
          </w:tcPr>
          <w:p>
            <w:pPr>
              <w:jc w:val="left"/>
              <w:spacing w:before="120" w:after="45" w:line="240" w:lineRule="auto"/>
            </w:pPr>
            <w:r>
              <w:rPr>
                <w:sz w:val="20"/>
                <w:szCs w:val="20"/>
              </w:rPr>
              <w:t xml:space="preserve">пункт 2.9</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о средней численности работников коммерческой микроорганизации</w:t>
            </w:r>
          </w:p>
        </w:tc>
      </w:tr>
      <w:tr>
        <w:trPr/>
        <w:tc>
          <w:tcPr>
            <w:tcW w:w="1793" w:type="pct"/>
            <w:vAlign w:val="top"/>
            <w:vMerge w:val="restart"/>
          </w:tcPr>
          <w:p>
            <w:pPr>
              <w:jc w:val="left"/>
              <w:spacing w:before="120" w:after="45" w:line="240" w:lineRule="auto"/>
            </w:pPr>
            <w:r>
              <w:rPr>
                <w:sz w:val="20"/>
                <w:szCs w:val="20"/>
              </w:rPr>
              <w:t xml:space="preserve">41. Назначение пособия семьям на детей в возрасте от 3 до 18 лет в период воспитания ребенка в возрасте до 3 лет</w:t>
            </w:r>
          </w:p>
        </w:tc>
        <w:tc>
          <w:tcPr>
            <w:tcW w:w="831" w:type="pct"/>
            <w:vAlign w:val="top"/>
            <w:vMerge w:val="restart"/>
          </w:tcPr>
          <w:p>
            <w:pPr>
              <w:jc w:val="left"/>
              <w:spacing w:before="120" w:after="45" w:line="240" w:lineRule="auto"/>
            </w:pPr>
            <w:r>
              <w:rPr>
                <w:sz w:val="20"/>
                <w:szCs w:val="20"/>
              </w:rPr>
              <w:t xml:space="preserve">пункт 2.9</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о средней численности работников коммерческой микроорганизации</w:t>
            </w:r>
          </w:p>
        </w:tc>
      </w:tr>
      <w:tr>
        <w:trPr/>
        <w:tc>
          <w:tcPr>
            <w:tcW w:w="1793" w:type="pct"/>
            <w:vAlign w:val="top"/>
            <w:vMerge w:val="restart"/>
          </w:tcPr>
          <w:p>
            <w:pPr>
              <w:jc w:val="left"/>
              <w:spacing w:before="120" w:after="45" w:line="240" w:lineRule="auto"/>
            </w:pPr>
            <w:r>
              <w:rPr>
                <w:sz w:val="20"/>
                <w:szCs w:val="20"/>
              </w:rPr>
              <w:t xml:space="preserve">42. Назначение пособия на детей старше 3 лет из отдельных категорий семей</w:t>
            </w:r>
          </w:p>
        </w:tc>
        <w:tc>
          <w:tcPr>
            <w:tcW w:w="831" w:type="pct"/>
            <w:vAlign w:val="top"/>
            <w:vMerge w:val="restart"/>
          </w:tcPr>
          <w:p>
            <w:pPr>
              <w:jc w:val="left"/>
              <w:spacing w:before="120" w:after="45" w:line="240" w:lineRule="auto"/>
            </w:pPr>
            <w:r>
              <w:rPr>
                <w:sz w:val="20"/>
                <w:szCs w:val="20"/>
              </w:rPr>
              <w:t xml:space="preserve">пункт 2.12</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о средней численности работников коммерческой микроорганизации</w:t>
            </w:r>
          </w:p>
        </w:tc>
      </w:tr>
      <w:tr>
        <w:trPr/>
        <w:tc>
          <w:tcPr>
            <w:tcW w:w="1793" w:type="pct"/>
            <w:vAlign w:val="top"/>
            <w:vMerge w:val="restart"/>
          </w:tcPr>
          <w:p>
            <w:pPr>
              <w:jc w:val="left"/>
              <w:spacing w:before="120" w:after="45" w:line="240" w:lineRule="auto"/>
            </w:pPr>
            <w:r>
              <w:rPr>
                <w:sz w:val="20"/>
                <w:szCs w:val="20"/>
              </w:rPr>
              <w:t xml:space="preserve">43. Назначение пособия по уходу за ребенком-инвалидом в возрасте до 18 лет</w:t>
            </w:r>
          </w:p>
        </w:tc>
        <w:tc>
          <w:tcPr>
            <w:tcW w:w="831" w:type="pct"/>
            <w:vAlign w:val="top"/>
            <w:vMerge w:val="restart"/>
          </w:tcPr>
          <w:p>
            <w:pPr>
              <w:jc w:val="left"/>
              <w:spacing w:before="120" w:after="45" w:line="240" w:lineRule="auto"/>
            </w:pPr>
            <w:r>
              <w:rPr>
                <w:sz w:val="20"/>
                <w:szCs w:val="20"/>
              </w:rPr>
              <w:t xml:space="preserve">пункт 2.15</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31" w:type="pct"/>
            <w:vAlign w:val="top"/>
            <w:vMerge w:val="restart"/>
          </w:tcPr>
          <w:p>
            <w:pPr>
              <w:jc w:val="left"/>
              <w:spacing w:before="120" w:after="45" w:line="240" w:lineRule="auto"/>
            </w:pPr>
            <w:r>
              <w:rPr>
                <w:sz w:val="20"/>
                <w:szCs w:val="20"/>
              </w:rPr>
              <w:t xml:space="preserve">пункт 2.32</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(при необходимости)</w:t>
            </w:r>
          </w:p>
        </w:tc>
      </w:tr>
      <w:tr>
        <w:trPr/>
        <w:tc>
          <w:tcPr>
            <w:tcW w:w="1793" w:type="pct"/>
            <w:vAlign w:val="top"/>
            <w:vMerge w:val="restart"/>
          </w:tcPr>
          <w:p>
            <w:pPr>
              <w:jc w:val="left"/>
              <w:spacing w:before="120" w:after="45" w:line="240" w:lineRule="auto"/>
            </w:pPr>
            <w:r>
              <w:rPr>
                <w:sz w:val="20"/>
                <w:szCs w:val="20"/>
              </w:rPr>
              <w:t xml:space="preserve">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31" w:type="pct"/>
            <w:vAlign w:val="top"/>
            <w:vMerge w:val="restart"/>
          </w:tcPr>
          <w:p>
            <w:pPr>
              <w:jc w:val="left"/>
              <w:spacing w:before="120" w:after="45" w:line="240" w:lineRule="auto"/>
            </w:pPr>
            <w:r>
              <w:rPr>
                <w:sz w:val="20"/>
                <w:szCs w:val="20"/>
              </w:rPr>
              <w:t xml:space="preserve">подпункт 2.33.1 пункта 2.33</w:t>
            </w:r>
          </w:p>
        </w:tc>
        <w:tc>
          <w:tcPr>
            <w:tcW w:w="2376" w:type="pct"/>
            <w:vAlign w:val="top"/>
            <w:vMerge w:val="restart"/>
          </w:tcPr>
          <w:p>
            <w:pPr>
              <w:jc w:val="left"/>
              <w:spacing w:before="120" w:after="45" w:line="240" w:lineRule="auto"/>
            </w:pPr>
            <w:r>
              <w:rPr>
                <w:sz w:val="20"/>
                <w:szCs w:val="20"/>
              </w:rPr>
              <w:t xml:space="preserve">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pPr>
              <w:jc w:val="left"/>
              <w:spacing w:before="120" w:after="45" w:line="240" w:lineRule="auto"/>
            </w:pPr>
            <w:r>
              <w:rPr>
                <w:sz w:val="20"/>
                <w:szCs w:val="20"/>
              </w:rPr>
              <w:t xml:space="preserve">справки о принадлежащих гражданину и членам его семьи правах на объекты недвижимого имущества либо об отсутствии таких прав (при необходимости)**</w:t>
            </w:r>
          </w:p>
          <w:p>
            <w:pPr>
              <w:jc w:val="left"/>
              <w:spacing w:before="120" w:after="45" w:line="240" w:lineRule="auto"/>
            </w:pPr>
            <w:r>
              <w:rPr>
                <w:sz w:val="20"/>
                <w:szCs w:val="20"/>
              </w:rPr>
              <w:t xml:space="preserve">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pPr>
              <w:jc w:val="left"/>
              <w:spacing w:before="120" w:after="45" w:line="240" w:lineRule="auto"/>
            </w:pPr>
            <w:r>
              <w:rPr>
                <w:sz w:val="20"/>
                <w:szCs w:val="20"/>
              </w:rPr>
              <w:t xml:space="preserve">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trPr/>
        <w:tc>
          <w:tcPr>
            <w:tcW w:w="1793" w:type="pct"/>
            <w:vAlign w:val="top"/>
            <w:vMerge w:val="restart"/>
          </w:tcPr>
          <w:p>
            <w:pPr>
              <w:jc w:val="left"/>
              <w:spacing w:before="120" w:after="45" w:line="240" w:lineRule="auto"/>
            </w:pPr>
            <w:r>
              <w:rPr>
                <w:sz w:val="20"/>
                <w:szCs w:val="20"/>
              </w:rPr>
              <w:t xml:space="preserve">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31" w:type="pct"/>
            <w:vAlign w:val="top"/>
            <w:vMerge w:val="restart"/>
          </w:tcPr>
          <w:p>
            <w:pPr>
              <w:jc w:val="left"/>
              <w:spacing w:before="120" w:after="45" w:line="240" w:lineRule="auto"/>
            </w:pPr>
            <w:r>
              <w:rPr>
                <w:sz w:val="20"/>
                <w:szCs w:val="20"/>
              </w:rPr>
              <w:t xml:space="preserve">подпункт 2.33.2 пункта 2.33</w:t>
            </w:r>
          </w:p>
        </w:tc>
        <w:tc>
          <w:tcPr>
            <w:tcW w:w="2376" w:type="pct"/>
            <w:vAlign w:val="top"/>
            <w:vMerge w:val="restart"/>
          </w:tcPr>
          <w:p>
            <w:pPr>
              <w:jc w:val="left"/>
              <w:spacing w:before="120" w:after="45" w:line="240" w:lineRule="auto"/>
            </w:pPr>
            <w:r>
              <w:rPr>
                <w:sz w:val="20"/>
                <w:szCs w:val="20"/>
              </w:rPr>
              <w:t xml:space="preserve">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pPr>
              <w:jc w:val="left"/>
              <w:spacing w:before="120" w:after="45" w:line="240" w:lineRule="auto"/>
            </w:pPr>
            <w:r>
              <w:rPr>
                <w:sz w:val="20"/>
                <w:szCs w:val="20"/>
              </w:rPr>
              <w:t xml:space="preserve">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pPr>
              <w:jc w:val="left"/>
              <w:spacing w:before="120" w:after="45" w:line="240" w:lineRule="auto"/>
            </w:pPr>
            <w:r>
              <w:rPr>
                <w:sz w:val="20"/>
                <w:szCs w:val="20"/>
              </w:rPr>
              <w:t xml:space="preserve">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trPr/>
        <w:tc>
          <w:tcPr>
            <w:tcW w:w="1793" w:type="pct"/>
            <w:vAlign w:val="top"/>
            <w:vMerge w:val="restart"/>
          </w:tcPr>
          <w:p>
            <w:pPr>
              <w:jc w:val="left"/>
              <w:spacing w:before="120" w:after="45" w:line="240" w:lineRule="auto"/>
            </w:pPr>
            <w:r>
              <w:rPr>
                <w:sz w:val="20"/>
                <w:szCs w:val="20"/>
              </w:rPr>
              <w:t xml:space="preserve">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31" w:type="pct"/>
            <w:vAlign w:val="top"/>
            <w:vMerge w:val="restart"/>
          </w:tcPr>
          <w:p>
            <w:pPr>
              <w:jc w:val="left"/>
              <w:spacing w:before="120" w:after="45" w:line="240" w:lineRule="auto"/>
            </w:pPr>
            <w:r>
              <w:rPr>
                <w:sz w:val="20"/>
                <w:szCs w:val="20"/>
              </w:rPr>
              <w:t xml:space="preserve">подпункт 2.33.4 пункта 2.33</w:t>
            </w:r>
          </w:p>
        </w:tc>
        <w:tc>
          <w:tcPr>
            <w:tcW w:w="2376" w:type="pct"/>
            <w:vAlign w:val="top"/>
            <w:vMerge w:val="restart"/>
          </w:tcPr>
          <w:p>
            <w:pPr>
              <w:jc w:val="left"/>
              <w:spacing w:before="120" w:after="45" w:line="240" w:lineRule="auto"/>
            </w:pPr>
            <w:r>
              <w:rPr>
                <w:sz w:val="20"/>
                <w:szCs w:val="20"/>
              </w:rPr>
              <w:t xml:space="preserve">справки о месте жительства и составе семьи или копии лицевого счета (при необходимости)</w:t>
            </w:r>
          </w:p>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pPr>
              <w:jc w:val="left"/>
              <w:spacing w:before="120" w:after="45" w:line="240" w:lineRule="auto"/>
            </w:pPr>
            <w:r>
              <w:rPr>
                <w:sz w:val="20"/>
                <w:szCs w:val="20"/>
              </w:rPr>
              <w:t xml:space="preserve">справки о принадлежащих гражданину и членам его семьи правах на объекты недвижимого имущества либо об отсутствии таких прав (при необходимости)**</w:t>
            </w:r>
          </w:p>
          <w:p>
            <w:pPr>
              <w:jc w:val="left"/>
              <w:spacing w:before="120" w:after="45" w:line="240" w:lineRule="auto"/>
            </w:pPr>
            <w:r>
              <w:rPr>
                <w:sz w:val="20"/>
                <w:szCs w:val="20"/>
              </w:rPr>
              <w:t xml:space="preserve">другие документы и (или) сведения, необходимые для обеспечения продуктами питания детей первых двух лет жизни</w:t>
            </w:r>
          </w:p>
        </w:tc>
      </w:tr>
      <w:tr>
        <w:trPr/>
        <w:tc>
          <w:tcPr>
            <w:tcW w:w="1793" w:type="pct"/>
            <w:vAlign w:val="top"/>
            <w:vMerge w:val="restart"/>
          </w:tcPr>
          <w:p>
            <w:pPr>
              <w:jc w:val="left"/>
              <w:spacing w:before="120" w:after="45" w:line="240" w:lineRule="auto"/>
            </w:pPr>
            <w:r>
              <w:rPr>
                <w:sz w:val="20"/>
                <w:szCs w:val="20"/>
              </w:rPr>
              <w:t xml:space="preserve">48. Выплата пособия на погребение</w:t>
            </w:r>
          </w:p>
        </w:tc>
        <w:tc>
          <w:tcPr>
            <w:tcW w:w="831" w:type="pct"/>
            <w:vAlign w:val="top"/>
            <w:vMerge w:val="restart"/>
          </w:tcPr>
          <w:p>
            <w:pPr>
              <w:jc w:val="left"/>
              <w:spacing w:before="120" w:after="45" w:line="240" w:lineRule="auto"/>
            </w:pPr>
            <w:r>
              <w:rPr>
                <w:sz w:val="20"/>
                <w:szCs w:val="20"/>
              </w:rPr>
              <w:t xml:space="preserve">пункт 2.35</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 на дату смерти (при необходимости)</w:t>
            </w:r>
          </w:p>
          <w:p>
            <w:pPr>
              <w:jc w:val="left"/>
              <w:spacing w:before="120" w:after="45" w:line="240" w:lineRule="auto"/>
            </w:pPr>
            <w:r>
              <w:rPr>
                <w:sz w:val="20"/>
                <w:szCs w:val="20"/>
              </w:rPr>
              <w:t xml:space="preserve">сведения об отсутствии регистрации в качестве индивидуального предпринимателя, главы крестьянского (фермерского) хозяйства (при необходимости)</w:t>
            </w:r>
          </w:p>
          <w:p>
            <w:pPr>
              <w:jc w:val="left"/>
              <w:spacing w:before="120" w:after="45" w:line="240" w:lineRule="auto"/>
            </w:pPr>
            <w:r>
              <w:rPr>
                <w:sz w:val="20"/>
                <w:szCs w:val="20"/>
              </w:rPr>
              <w:t xml:space="preserve">справка о периодах уплаты обязательных страховых взносов для назначения пособия на погребение</w:t>
            </w:r>
          </w:p>
          <w:p>
            <w:pPr>
              <w:jc w:val="left"/>
              <w:spacing w:before="120" w:after="45" w:line="240" w:lineRule="auto"/>
            </w:pPr>
            <w:r>
              <w:rPr>
                <w:sz w:val="20"/>
                <w:szCs w:val="20"/>
              </w:rPr>
              <w:t xml:space="preserve">информация о регистрации гражданина в качестве безработного (при необходимости)</w:t>
            </w:r>
          </w:p>
        </w:tc>
      </w:tr>
      <w:tr>
        <w:trPr/>
        <w:tc>
          <w:tcPr>
            <w:tcW w:w="1793" w:type="pct"/>
            <w:vAlign w:val="top"/>
            <w:vMerge w:val="restart"/>
          </w:tcPr>
          <w:p>
            <w:pPr>
              <w:jc w:val="left"/>
              <w:spacing w:before="120" w:after="45" w:line="240" w:lineRule="auto"/>
            </w:pPr>
            <w:r>
              <w:rPr>
                <w:sz w:val="20"/>
                <w:szCs w:val="20"/>
              </w:rPr>
              <w:t xml:space="preserve">49. Принятие решения о назначении пособия по уходу за инвалидом I группы либо лицом, достигшим 80-летнего возраста</w:t>
            </w:r>
          </w:p>
        </w:tc>
        <w:tc>
          <w:tcPr>
            <w:tcW w:w="831" w:type="pct"/>
            <w:vAlign w:val="top"/>
            <w:vMerge w:val="restart"/>
          </w:tcPr>
          <w:p>
            <w:pPr>
              <w:jc w:val="left"/>
              <w:spacing w:before="120" w:after="45" w:line="240" w:lineRule="auto"/>
            </w:pPr>
            <w:r>
              <w:rPr>
                <w:sz w:val="20"/>
                <w:szCs w:val="20"/>
              </w:rPr>
              <w:t xml:space="preserve">пункт 2.38</w:t>
            </w:r>
          </w:p>
        </w:tc>
        <w:tc>
          <w:tcPr>
            <w:tcW w:w="2376" w:type="pct"/>
            <w:vAlign w:val="top"/>
            <w:vMerge w:val="restart"/>
          </w:tcPr>
          <w:p>
            <w:pPr>
              <w:jc w:val="left"/>
              <w:spacing w:before="120" w:after="45" w:line="240" w:lineRule="auto"/>
            </w:pPr>
            <w:r>
              <w:rPr>
                <w:sz w:val="20"/>
                <w:szCs w:val="20"/>
              </w:rPr>
              <w:t xml:space="preserve">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pPr>
              <w:jc w:val="left"/>
              <w:spacing w:before="120" w:after="45" w:line="240" w:lineRule="auto"/>
            </w:pPr>
            <w:r>
              <w:rPr>
                <w:sz w:val="20"/>
                <w:szCs w:val="20"/>
              </w:rPr>
              <w:t xml:space="preserve">сведения о неполучении пособия по безработице</w:t>
            </w:r>
          </w:p>
          <w:p>
            <w:pPr>
              <w:jc w:val="left"/>
              <w:spacing w:before="120" w:after="45" w:line="240" w:lineRule="auto"/>
            </w:pPr>
            <w:r>
              <w:rPr>
                <w:sz w:val="20"/>
                <w:szCs w:val="20"/>
              </w:rPr>
              <w:t xml:space="preserve">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pPr>
              <w:jc w:val="left"/>
              <w:spacing w:before="120" w:after="45" w:line="240" w:lineRule="auto"/>
            </w:pPr>
            <w:r>
              <w:rPr>
                <w:sz w:val="20"/>
                <w:szCs w:val="20"/>
              </w:rPr>
              <w:t xml:space="preserve">сведения об отсутствии регистрации в качестве индивидуального предпринимателя, главы крестьянского (фермерского) хозяйства</w:t>
            </w:r>
          </w:p>
          <w:p>
            <w:pPr>
              <w:jc w:val="left"/>
              <w:spacing w:before="120" w:after="45" w:line="240" w:lineRule="auto"/>
            </w:pPr>
            <w:r>
              <w:rPr>
                <w:sz w:val="20"/>
                <w:szCs w:val="20"/>
              </w:rPr>
              <w:t xml:space="preserve">справка о неполучении пенсии лицом, осуществляющим уход (при необходимости)</w:t>
            </w:r>
          </w:p>
          <w:p>
            <w:pPr>
              <w:jc w:val="left"/>
              <w:spacing w:before="120" w:after="45" w:line="240" w:lineRule="auto"/>
            </w:pPr>
            <w:r>
              <w:rPr>
                <w:sz w:val="20"/>
                <w:szCs w:val="20"/>
              </w:rPr>
              <w:t xml:space="preserve">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r>
      <w:tr>
        <w:trPr/>
        <w:tc>
          <w:tcPr>
            <w:tcW w:w="1793" w:type="pct"/>
            <w:vAlign w:val="top"/>
            <w:vMerge w:val="restart"/>
          </w:tcPr>
          <w:p>
            <w:pPr>
              <w:jc w:val="left"/>
              <w:spacing w:before="120" w:after="45" w:line="240" w:lineRule="auto"/>
            </w:pPr>
            <w:r>
              <w:rPr>
                <w:sz w:val="20"/>
                <w:szCs w:val="20"/>
              </w:rPr>
              <w:t xml:space="preserve">50. Принятие решения о назначении семейного капитала</w:t>
            </w:r>
          </w:p>
        </w:tc>
        <w:tc>
          <w:tcPr>
            <w:tcW w:w="831" w:type="pct"/>
            <w:vAlign w:val="top"/>
            <w:vMerge w:val="restart"/>
          </w:tcPr>
          <w:p>
            <w:pPr>
              <w:jc w:val="left"/>
              <w:spacing w:before="120" w:after="45" w:line="240" w:lineRule="auto"/>
            </w:pPr>
            <w:r>
              <w:rPr>
                <w:sz w:val="20"/>
                <w:szCs w:val="20"/>
              </w:rPr>
              <w:t xml:space="preserve">пункт 2.46</w:t>
            </w:r>
          </w:p>
        </w:tc>
        <w:tc>
          <w:tcPr>
            <w:tcW w:w="2376" w:type="pct"/>
            <w:vAlign w:val="top"/>
            <w:vMerge w:val="restart"/>
          </w:tcPr>
          <w:p>
            <w:pPr>
              <w:jc w:val="left"/>
              <w:spacing w:before="120" w:after="45" w:line="240" w:lineRule="auto"/>
            </w:pPr>
            <w:r>
              <w:rPr>
                <w:sz w:val="20"/>
                <w:szCs w:val="20"/>
              </w:rPr>
              <w:t xml:space="preserve">справка (справки) о месте жительства и составе семьи или копия лицевого счета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r>
        <w:trPr/>
        <w:tc>
          <w:tcPr>
            <w:tcW w:w="1793" w:type="pct"/>
            <w:vAlign w:val="top"/>
            <w:vMerge w:val="restart"/>
          </w:tcPr>
          <w:p>
            <w:pPr>
              <w:jc w:val="left"/>
              <w:spacing w:before="120" w:after="45" w:line="240" w:lineRule="auto"/>
            </w:pPr>
            <w:r>
              <w:rPr>
                <w:sz w:val="20"/>
                <w:szCs w:val="20"/>
              </w:rPr>
              <w:t xml:space="preserve">51.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831" w:type="pct"/>
            <w:vAlign w:val="top"/>
            <w:vMerge w:val="restart"/>
          </w:tcPr>
          <w:p>
            <w:pPr>
              <w:jc w:val="left"/>
              <w:spacing w:before="120" w:after="45" w:line="240" w:lineRule="auto"/>
            </w:pPr>
            <w:r>
              <w:rPr>
                <w:sz w:val="20"/>
                <w:szCs w:val="20"/>
              </w:rPr>
              <w:t xml:space="preserve">подпункт 2.47.1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pPr>
              <w:jc w:val="left"/>
              <w:spacing w:before="120" w:after="45" w:line="240" w:lineRule="auto"/>
            </w:pPr>
            <w:r>
              <w:rPr>
                <w:sz w:val="20"/>
                <w:szCs w:val="20"/>
              </w:rPr>
              <w:t xml:space="preserve">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pPr>
              <w:jc w:val="left"/>
              <w:spacing w:before="120" w:after="45" w:line="240" w:lineRule="auto"/>
            </w:pPr>
            <w:r>
              <w:rPr>
                <w:sz w:val="20"/>
                <w:szCs w:val="20"/>
              </w:rPr>
              <w:t xml:space="preserve">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p>
            <w:pPr>
              <w:jc w:val="left"/>
              <w:spacing w:before="120" w:after="45" w:line="240" w:lineRule="auto"/>
            </w:pPr>
            <w:r>
              <w:rPr>
                <w:sz w:val="20"/>
                <w:szCs w:val="20"/>
              </w:rPr>
              <w:t xml:space="preserve">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pPr>
              <w:jc w:val="left"/>
              <w:spacing w:before="120" w:after="45" w:line="240" w:lineRule="auto"/>
            </w:pPr>
            <w:r>
              <w:rPr>
                <w:sz w:val="20"/>
                <w:szCs w:val="20"/>
              </w:rPr>
              <w:t xml:space="preserve">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pPr>
              <w:jc w:val="left"/>
              <w:spacing w:before="120" w:after="45" w:line="240" w:lineRule="auto"/>
            </w:pPr>
            <w:r>
              <w:rPr>
                <w:sz w:val="20"/>
                <w:szCs w:val="20"/>
              </w:rPr>
              <w:t xml:space="preserve">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p>
        </w:tc>
      </w:tr>
      <w:tr>
        <w:trPr/>
        <w:tc>
          <w:tcPr>
            <w:tcW w:w="1793" w:type="pct"/>
            <w:vAlign w:val="top"/>
            <w:vMerge w:val="restart"/>
          </w:tcPr>
          <w:p>
            <w:pPr>
              <w:jc w:val="left"/>
              <w:spacing w:before="120" w:after="45" w:line="240" w:lineRule="auto"/>
            </w:pPr>
            <w:r>
              <w:rPr>
                <w:sz w:val="20"/>
                <w:szCs w:val="20"/>
              </w:rPr>
              <w:t xml:space="preserve">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31" w:type="pct"/>
            <w:vAlign w:val="top"/>
            <w:vMerge w:val="restart"/>
          </w:tcPr>
          <w:p>
            <w:pPr>
              <w:jc w:val="left"/>
              <w:spacing w:before="120" w:after="45" w:line="240" w:lineRule="auto"/>
            </w:pPr>
            <w:r>
              <w:rPr>
                <w:sz w:val="20"/>
                <w:szCs w:val="20"/>
              </w:rPr>
              <w:t xml:space="preserve">подпункт 2.47.2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53. Принятие решения о досрочном распоряжении средствами семейного капитала на получение платных медицинских услуг, оказываемых организациями здравоохранения</w:t>
            </w:r>
          </w:p>
        </w:tc>
        <w:tc>
          <w:tcPr>
            <w:tcW w:w="831" w:type="pct"/>
            <w:vAlign w:val="top"/>
            <w:vMerge w:val="restart"/>
          </w:tcPr>
          <w:p>
            <w:pPr>
              <w:jc w:val="left"/>
              <w:spacing w:before="120" w:after="45" w:line="240" w:lineRule="auto"/>
            </w:pPr>
            <w:r>
              <w:rPr>
                <w:sz w:val="20"/>
                <w:szCs w:val="20"/>
              </w:rPr>
              <w:t xml:space="preserve">подпункт 2.47.3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53</w:t>
            </w:r>
            <w:r>
              <w:rPr>
                <w:sz w:val="20"/>
                <w:szCs w:val="20"/>
                <w:vertAlign w:val="superscript"/>
              </w:rPr>
              <w:t xml:space="preserve">1</w:t>
            </w:r>
            <w:r>
              <w:rPr>
                <w:sz w:val="20"/>
                <w:szCs w:val="20"/>
              </w:rPr>
              <w:t xml:space="preserve">.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31" w:type="pct"/>
            <w:vAlign w:val="top"/>
            <w:vMerge w:val="restart"/>
          </w:tcPr>
          <w:p>
            <w:pPr>
              <w:jc w:val="left"/>
              <w:spacing w:before="120" w:after="45" w:line="240" w:lineRule="auto"/>
            </w:pPr>
            <w:r>
              <w:rPr>
                <w:sz w:val="20"/>
                <w:szCs w:val="20"/>
              </w:rPr>
              <w:t xml:space="preserve">подпункт 2.47.4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br/>
            <w:b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w:t>
            </w:r>
            <w:br/>
            <w:b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831" w:type="pct"/>
            <w:vAlign w:val="top"/>
            <w:vMerge w:val="restart"/>
          </w:tcPr>
          <w:p>
            <w:pPr>
              <w:jc w:val="left"/>
              <w:spacing w:before="120" w:after="45" w:line="240" w:lineRule="auto"/>
            </w:pPr>
            <w:r>
              <w:rPr>
                <w:sz w:val="20"/>
                <w:szCs w:val="20"/>
              </w:rPr>
              <w:t xml:space="preserve">пункт 2.48</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w:t>
            </w:r>
          </w:p>
          <w:p>
            <w:pPr>
              <w:jc w:val="left"/>
              <w:spacing w:before="120" w:after="45" w:line="240" w:lineRule="auto"/>
            </w:pPr>
            <w:r>
              <w:rPr>
                <w:sz w:val="20"/>
                <w:szCs w:val="20"/>
              </w:rPr>
              <w:t xml:space="preserve">сведения о совершении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31" w:type="pct"/>
            <w:vAlign w:val="top"/>
            <w:vMerge w:val="restart"/>
          </w:tcPr>
          <w:p>
            <w:pPr>
              <w:jc w:val="left"/>
              <w:spacing w:before="120" w:after="45" w:line="240" w:lineRule="auto"/>
            </w:pPr>
            <w:r>
              <w:rPr>
                <w:sz w:val="20"/>
                <w:szCs w:val="20"/>
              </w:rPr>
              <w:t xml:space="preserve">пункт 3.8</w:t>
            </w:r>
          </w:p>
        </w:tc>
        <w:tc>
          <w:tcPr>
            <w:tcW w:w="2376" w:type="pct"/>
            <w:vAlign w:val="top"/>
            <w:vMerge w:val="restart"/>
          </w:tcPr>
          <w:p>
            <w:pPr>
              <w:jc w:val="left"/>
              <w:spacing w:before="120" w:after="45" w:line="240" w:lineRule="auto"/>
            </w:pPr>
            <w:r>
              <w:rPr>
                <w:sz w:val="20"/>
                <w:szCs w:val="20"/>
              </w:rPr>
              <w:t xml:space="preserve">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trPr/>
        <w:tc>
          <w:tcPr>
            <w:tcW w:w="1793" w:type="pct"/>
            <w:vAlign w:val="top"/>
            <w:vMerge w:val="restart"/>
          </w:tcPr>
          <w:p>
            <w:pPr>
              <w:jc w:val="left"/>
              <w:spacing w:before="120" w:after="45" w:line="240" w:lineRule="auto"/>
            </w:pPr>
            <w:r>
              <w:rPr>
                <w:sz w:val="20"/>
                <w:szCs w:val="20"/>
              </w:rPr>
              <w:t xml:space="preserve">56. Выдача удостоверения пострадавшего от катастрофы на Чернобыльской АЭС, других радиационных аварий</w:t>
            </w:r>
          </w:p>
        </w:tc>
        <w:tc>
          <w:tcPr>
            <w:tcW w:w="831" w:type="pct"/>
            <w:vAlign w:val="top"/>
            <w:vMerge w:val="restart"/>
          </w:tcPr>
          <w:p>
            <w:pPr>
              <w:jc w:val="left"/>
              <w:spacing w:before="120" w:after="45" w:line="240" w:lineRule="auto"/>
            </w:pPr>
            <w:r>
              <w:rPr>
                <w:sz w:val="20"/>
                <w:szCs w:val="20"/>
              </w:rPr>
              <w:t xml:space="preserve">пункт 3.9</w:t>
            </w:r>
          </w:p>
        </w:tc>
        <w:tc>
          <w:tcPr>
            <w:tcW w:w="2376" w:type="pct"/>
            <w:vAlign w:val="top"/>
            <w:vMerge w:val="restart"/>
          </w:tcPr>
          <w:p>
            <w:pPr>
              <w:jc w:val="left"/>
              <w:spacing w:before="120" w:after="45" w:line="240" w:lineRule="auto"/>
            </w:pPr>
            <w:r>
              <w:rPr>
                <w:sz w:val="20"/>
                <w:szCs w:val="20"/>
              </w:rPr>
              <w:t xml:space="preserve">справка о месте жительства гражданина на территории радиоактивного загрязнения с указанием места и периода проживания</w:t>
            </w:r>
          </w:p>
          <w:p>
            <w:pPr>
              <w:jc w:val="left"/>
              <w:spacing w:before="120" w:after="45" w:line="240" w:lineRule="auto"/>
            </w:pPr>
            <w:r>
              <w:rPr>
                <w:sz w:val="20"/>
                <w:szCs w:val="20"/>
              </w:rPr>
              <w:t xml:space="preserve">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trPr/>
        <w:tc>
          <w:tcPr>
            <w:tcW w:w="1793" w:type="pct"/>
            <w:vAlign w:val="top"/>
            <w:vMerge w:val="restart"/>
          </w:tcPr>
          <w:p>
            <w:pPr>
              <w:jc w:val="left"/>
              <w:spacing w:before="120" w:after="45" w:line="240" w:lineRule="auto"/>
            </w:pPr>
            <w:r>
              <w:rPr>
                <w:sz w:val="20"/>
                <w:szCs w:val="20"/>
              </w:rPr>
              <w:t xml:space="preserve">57. Выдача удостоверения многодетной семьи</w:t>
            </w:r>
          </w:p>
        </w:tc>
        <w:tc>
          <w:tcPr>
            <w:tcW w:w="831" w:type="pct"/>
            <w:vAlign w:val="top"/>
            <w:vMerge w:val="restart"/>
          </w:tcPr>
          <w:p>
            <w:pPr>
              <w:jc w:val="left"/>
              <w:spacing w:before="120" w:after="45" w:line="240" w:lineRule="auto"/>
            </w:pPr>
            <w:r>
              <w:rPr>
                <w:sz w:val="20"/>
                <w:szCs w:val="20"/>
              </w:rPr>
              <w:t xml:space="preserve">пункт 3.15</w:t>
            </w:r>
          </w:p>
        </w:tc>
        <w:tc>
          <w:tcPr>
            <w:tcW w:w="2376" w:type="pct"/>
            <w:vAlign w:val="top"/>
            <w:vMerge w:val="restart"/>
          </w:tcPr>
          <w:p>
            <w:pPr>
              <w:jc w:val="left"/>
              <w:spacing w:before="120" w:after="45" w:line="240" w:lineRule="auto"/>
            </w:pPr>
            <w:r>
              <w:rPr>
                <w:sz w:val="20"/>
                <w:szCs w:val="20"/>
              </w:rPr>
              <w:t xml:space="preserve">справка (справки) о месте жительства и составе семьи или копия лицевого счета</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pPr>
              <w:jc w:val="left"/>
              <w:spacing w:before="120" w:after="45" w:line="240" w:lineRule="auto"/>
            </w:pPr>
            <w:r>
              <w:rPr>
                <w:sz w:val="20"/>
                <w:szCs w:val="20"/>
              </w:rPr>
              <w:t xml:space="preserve">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pPr>
              <w:jc w:val="left"/>
              <w:spacing w:before="120" w:after="45" w:line="240" w:lineRule="auto"/>
            </w:pPr>
            <w:r>
              <w:rPr>
                <w:sz w:val="20"/>
                <w:szCs w:val="20"/>
              </w:rPr>
              <w:t xml:space="preserve">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trPr/>
        <w:tc>
          <w:tcPr>
            <w:tcW w:w="1793" w:type="pct"/>
            <w:vAlign w:val="top"/>
            <w:vMerge w:val="restart"/>
          </w:tcPr>
          <w:p>
            <w:pPr>
              <w:jc w:val="left"/>
              <w:spacing w:before="120" w:after="45" w:line="240" w:lineRule="auto"/>
            </w:pPr>
            <w:r>
              <w:rPr>
                <w:sz w:val="20"/>
                <w:szCs w:val="20"/>
              </w:rPr>
              <w:t xml:space="preserve">58. Выдача акта обследования условий жизни кандидата в усыновители (удочерители)</w:t>
            </w:r>
          </w:p>
        </w:tc>
        <w:tc>
          <w:tcPr>
            <w:tcW w:w="831" w:type="pct"/>
            <w:vAlign w:val="top"/>
            <w:vMerge w:val="restart"/>
          </w:tcPr>
          <w:p>
            <w:pPr>
              <w:jc w:val="left"/>
              <w:spacing w:before="120" w:after="45" w:line="240" w:lineRule="auto"/>
            </w:pPr>
            <w:r>
              <w:rPr>
                <w:sz w:val="20"/>
                <w:szCs w:val="20"/>
              </w:rPr>
              <w:t xml:space="preserve">пункт 4.1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кандидата в усыновители или копия лицевого счета</w:t>
            </w:r>
          </w:p>
          <w:p>
            <w:pPr>
              <w:jc w:val="left"/>
              <w:spacing w:before="120" w:after="45" w:line="240" w:lineRule="auto"/>
            </w:pPr>
            <w:r>
              <w:rPr>
                <w:sz w:val="20"/>
                <w:szCs w:val="20"/>
              </w:rPr>
              <w:t xml:space="preserve">сведения об отсутствии судимости у кандидата в усыновители</w:t>
            </w:r>
          </w:p>
          <w:p>
            <w:pPr>
              <w:jc w:val="left"/>
              <w:spacing w:before="120" w:after="45" w:line="240" w:lineRule="auto"/>
            </w:pPr>
            <w:r>
              <w:rPr>
                <w:sz w:val="20"/>
                <w:szCs w:val="20"/>
              </w:rPr>
              <w:t xml:space="preserve">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pPr>
              <w:jc w:val="left"/>
              <w:spacing w:before="120" w:after="45" w:line="240" w:lineRule="auto"/>
            </w:pPr>
            <w:r>
              <w:rPr>
                <w:sz w:val="20"/>
                <w:szCs w:val="20"/>
              </w:rPr>
              <w:t xml:space="preserve">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pPr>
              <w:jc w:val="left"/>
              <w:spacing w:before="120" w:after="45" w:line="240" w:lineRule="auto"/>
            </w:pPr>
            <w:r>
              <w:rPr>
                <w:sz w:val="20"/>
                <w:szCs w:val="20"/>
              </w:rPr>
              <w:t xml:space="preserve">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pPr>
              <w:jc w:val="left"/>
              <w:spacing w:before="120" w:after="45" w:line="240" w:lineRule="auto"/>
            </w:pPr>
            <w:r>
              <w:rPr>
                <w:sz w:val="20"/>
                <w:szCs w:val="20"/>
              </w:rPr>
              <w:t xml:space="preserve">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trPr/>
        <w:tc>
          <w:tcPr>
            <w:tcW w:w="1793" w:type="pct"/>
            <w:vAlign w:val="top"/>
            <w:vMerge w:val="restart"/>
          </w:tcPr>
          <w:p>
            <w:pPr>
              <w:jc w:val="left"/>
              <w:spacing w:before="120" w:after="45" w:line="240" w:lineRule="auto"/>
            </w:pPr>
            <w:r>
              <w:rPr>
                <w:sz w:val="20"/>
                <w:szCs w:val="20"/>
              </w:rPr>
              <w:t xml:space="preserve">59. Принятие решения об установлении опеки (попечительства) над совершеннолетним и назначении опекуна (попечителя)</w:t>
            </w:r>
          </w:p>
        </w:tc>
        <w:tc>
          <w:tcPr>
            <w:tcW w:w="831" w:type="pct"/>
            <w:vAlign w:val="top"/>
            <w:vMerge w:val="restart"/>
          </w:tcPr>
          <w:p>
            <w:pPr>
              <w:jc w:val="left"/>
              <w:spacing w:before="120" w:after="45" w:line="240" w:lineRule="auto"/>
            </w:pPr>
            <w:r>
              <w:rPr>
                <w:sz w:val="20"/>
                <w:szCs w:val="20"/>
              </w:rPr>
              <w:t xml:space="preserve">пункт 4.3</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кандидата в опекуны (попечители) или копия лицевого счета</w:t>
            </w:r>
          </w:p>
          <w:p>
            <w:pPr>
              <w:jc w:val="left"/>
              <w:spacing w:before="120" w:after="45" w:line="240" w:lineRule="auto"/>
            </w:pPr>
            <w:r>
              <w:rPr>
                <w:sz w:val="20"/>
                <w:szCs w:val="20"/>
              </w:rPr>
              <w:t xml:space="preserve">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лишался ли кандидат в опекуны (попечители) родительских прав, было ли ранее в отношении него отменено усыновление (удочерение)</w:t>
            </w:r>
          </w:p>
          <w:p>
            <w:pPr>
              <w:jc w:val="left"/>
              <w:spacing w:before="120" w:after="45" w:line="240" w:lineRule="auto"/>
            </w:pPr>
            <w:r>
              <w:rPr>
                <w:sz w:val="20"/>
                <w:szCs w:val="20"/>
              </w:rPr>
              <w:t xml:space="preserve">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trPr/>
        <w:tc>
          <w:tcPr>
            <w:tcW w:w="1793" w:type="pct"/>
            <w:vAlign w:val="top"/>
            <w:vMerge w:val="restart"/>
          </w:tcPr>
          <w:p>
            <w:pPr>
              <w:jc w:val="left"/>
              <w:spacing w:before="120" w:after="45" w:line="240" w:lineRule="auto"/>
            </w:pPr>
            <w:r>
              <w:rPr>
                <w:sz w:val="20"/>
                <w:szCs w:val="20"/>
              </w:rPr>
              <w:t xml:space="preserve">60. Принятие решения об установлении опеки (попечительства) над несовершеннолетним и назначении опекуна (попечителя)</w:t>
            </w:r>
          </w:p>
        </w:tc>
        <w:tc>
          <w:tcPr>
            <w:tcW w:w="831" w:type="pct"/>
            <w:vAlign w:val="top"/>
            <w:vMerge w:val="restart"/>
          </w:tcPr>
          <w:p>
            <w:pPr>
              <w:jc w:val="left"/>
              <w:spacing w:before="120" w:after="45" w:line="240" w:lineRule="auto"/>
            </w:pPr>
            <w:r>
              <w:rPr>
                <w:sz w:val="20"/>
                <w:szCs w:val="20"/>
              </w:rPr>
              <w:t xml:space="preserve">пункт 4.4</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кандидата в опекуны (попечители) или копия лицевого счета</w:t>
            </w:r>
          </w:p>
          <w:p>
            <w:pPr>
              <w:jc w:val="left"/>
              <w:spacing w:before="120" w:after="45" w:line="240" w:lineRule="auto"/>
            </w:pPr>
            <w:r>
              <w:rPr>
                <w:sz w:val="20"/>
                <w:szCs w:val="20"/>
              </w:rPr>
              <w:t xml:space="preserve">справка о месте работы, службы и занимаемой должности кандидата в опекуны (попечители)</w:t>
            </w:r>
          </w:p>
          <w:p>
            <w:pPr>
              <w:jc w:val="left"/>
              <w:spacing w:before="120" w:after="45" w:line="240" w:lineRule="auto"/>
            </w:pPr>
            <w:r>
              <w:rPr>
                <w:sz w:val="20"/>
                <w:szCs w:val="20"/>
              </w:rPr>
              <w:t xml:space="preserve">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pPr>
              <w:jc w:val="left"/>
              <w:spacing w:before="120" w:after="45" w:line="240" w:lineRule="auto"/>
            </w:pPr>
            <w:r>
              <w:rPr>
                <w:sz w:val="20"/>
                <w:szCs w:val="20"/>
              </w:rPr>
              <w:t xml:space="preserve">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pPr>
              <w:jc w:val="left"/>
              <w:spacing w:before="120" w:after="45" w:line="240" w:lineRule="auto"/>
            </w:pPr>
            <w:r>
              <w:rPr>
                <w:sz w:val="20"/>
                <w:szCs w:val="20"/>
              </w:rPr>
              <w:t xml:space="preserve">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pPr>
              <w:jc w:val="left"/>
              <w:spacing w:before="120" w:after="45" w:line="240" w:lineRule="auto"/>
            </w:pPr>
            <w:r>
              <w:rPr>
                <w:sz w:val="20"/>
                <w:szCs w:val="20"/>
              </w:rPr>
              <w:t xml:space="preserve">справка (справки) о принадлежащих кандидату в опекуны (попечители) правах на объекты недвижимого имущества**</w:t>
            </w:r>
          </w:p>
          <w:p>
            <w:pPr>
              <w:jc w:val="left"/>
              <w:spacing w:before="120" w:after="45" w:line="240" w:lineRule="auto"/>
            </w:pPr>
            <w:r>
              <w:rPr>
                <w:sz w:val="20"/>
                <w:szCs w:val="20"/>
              </w:rPr>
              <w:t xml:space="preserve">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trPr/>
        <w:tc>
          <w:tcPr>
            <w:tcW w:w="1793" w:type="pct"/>
            <w:vAlign w:val="top"/>
            <w:vMerge w:val="restart"/>
          </w:tcPr>
          <w:p>
            <w:pPr>
              <w:jc w:val="left"/>
              <w:spacing w:before="120" w:after="45" w:line="240" w:lineRule="auto"/>
            </w:pPr>
            <w:r>
              <w:rPr>
                <w:sz w:val="20"/>
                <w:szCs w:val="20"/>
              </w:rPr>
              <w:t xml:space="preserve">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31" w:type="pct"/>
            <w:vAlign w:val="top"/>
            <w:vMerge w:val="restart"/>
          </w:tcPr>
          <w:p>
            <w:pPr>
              <w:jc w:val="left"/>
              <w:spacing w:before="120" w:after="45" w:line="240" w:lineRule="auto"/>
            </w:pPr>
            <w:r>
              <w:rPr>
                <w:sz w:val="20"/>
                <w:szCs w:val="20"/>
              </w:rPr>
              <w:t xml:space="preserve">пункт 4.5</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ребенка, подопечного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62. Принятие решения о передаче ребенка (детей) на воспитание в приемную семью</w:t>
            </w:r>
          </w:p>
        </w:tc>
        <w:tc>
          <w:tcPr>
            <w:tcW w:w="831" w:type="pct"/>
            <w:vAlign w:val="top"/>
            <w:vMerge w:val="restart"/>
          </w:tcPr>
          <w:p>
            <w:pPr>
              <w:jc w:val="left"/>
              <w:spacing w:before="120" w:after="45" w:line="240" w:lineRule="auto"/>
            </w:pPr>
            <w:r>
              <w:rPr>
                <w:sz w:val="20"/>
                <w:szCs w:val="20"/>
              </w:rPr>
              <w:t xml:space="preserve">пункт 4.6</w:t>
            </w:r>
          </w:p>
        </w:tc>
        <w:tc>
          <w:tcPr>
            <w:tcW w:w="2376" w:type="pct"/>
            <w:vAlign w:val="top"/>
            <w:vMerge w:val="restart"/>
          </w:tcPr>
          <w:p>
            <w:pPr>
              <w:jc w:val="left"/>
              <w:spacing w:before="120" w:after="45" w:line="240" w:lineRule="auto"/>
            </w:pPr>
            <w:r>
              <w:rPr>
                <w:sz w:val="20"/>
                <w:szCs w:val="20"/>
              </w:rPr>
              <w:t xml:space="preserve">справки о месте жительства и составе семьи кандидатов в приемные родители или копия лицевого счета</w:t>
            </w:r>
          </w:p>
          <w:p>
            <w:pPr>
              <w:jc w:val="left"/>
              <w:spacing w:before="120" w:after="45" w:line="240" w:lineRule="auto"/>
            </w:pPr>
            <w:r>
              <w:rPr>
                <w:sz w:val="20"/>
                <w:szCs w:val="20"/>
              </w:rPr>
              <w:t xml:space="preserve">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pPr>
              <w:jc w:val="left"/>
              <w:spacing w:before="120" w:after="45" w:line="240" w:lineRule="auto"/>
            </w:pPr>
            <w:r>
              <w:rPr>
                <w:sz w:val="20"/>
                <w:szCs w:val="20"/>
              </w:rPr>
              <w:t xml:space="preserve">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pPr>
              <w:jc w:val="left"/>
              <w:spacing w:before="120" w:after="45" w:line="240" w:lineRule="auto"/>
            </w:pPr>
            <w:r>
              <w:rPr>
                <w:sz w:val="20"/>
                <w:szCs w:val="20"/>
              </w:rPr>
              <w:t xml:space="preserve">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pPr>
              <w:jc w:val="left"/>
              <w:spacing w:before="120" w:after="45" w:line="240" w:lineRule="auto"/>
            </w:pPr>
            <w:r>
              <w:rPr>
                <w:sz w:val="20"/>
                <w:szCs w:val="20"/>
              </w:rPr>
              <w:t xml:space="preserve">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pPr>
              <w:jc w:val="left"/>
              <w:spacing w:before="120" w:after="45" w:line="240" w:lineRule="auto"/>
            </w:pPr>
            <w:r>
              <w:rPr>
                <w:sz w:val="20"/>
                <w:szCs w:val="20"/>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trPr/>
        <w:tc>
          <w:tcPr>
            <w:tcW w:w="1793" w:type="pct"/>
            <w:vAlign w:val="top"/>
            <w:vMerge w:val="restart"/>
          </w:tcPr>
          <w:p>
            <w:pPr>
              <w:jc w:val="left"/>
              <w:spacing w:before="120" w:after="45" w:line="240" w:lineRule="auto"/>
            </w:pPr>
            <w:r>
              <w:rPr>
                <w:sz w:val="20"/>
                <w:szCs w:val="20"/>
              </w:rPr>
              <w:t xml:space="preserve">63. Принятие решения о создании детского дома семейного типа</w:t>
            </w:r>
          </w:p>
        </w:tc>
        <w:tc>
          <w:tcPr>
            <w:tcW w:w="831" w:type="pct"/>
            <w:vAlign w:val="top"/>
            <w:vMerge w:val="restart"/>
          </w:tcPr>
          <w:p>
            <w:pPr>
              <w:jc w:val="left"/>
              <w:spacing w:before="120" w:after="45" w:line="240" w:lineRule="auto"/>
            </w:pPr>
            <w:r>
              <w:rPr>
                <w:sz w:val="20"/>
                <w:szCs w:val="20"/>
              </w:rPr>
              <w:t xml:space="preserve">пункт 4.7</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кандидата в родители-воспитатели или копия лицевого счета</w:t>
            </w:r>
          </w:p>
          <w:p>
            <w:pPr>
              <w:jc w:val="left"/>
              <w:spacing w:before="120" w:after="45" w:line="240" w:lineRule="auto"/>
            </w:pPr>
            <w:r>
              <w:rPr>
                <w:sz w:val="20"/>
                <w:szCs w:val="20"/>
              </w:rPr>
              <w:t xml:space="preserve">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pPr>
              <w:jc w:val="left"/>
              <w:spacing w:before="120" w:after="45" w:line="240" w:lineRule="auto"/>
            </w:pPr>
            <w:r>
              <w:rPr>
                <w:sz w:val="20"/>
                <w:szCs w:val="20"/>
              </w:rPr>
              <w:t xml:space="preserve">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pPr>
              <w:jc w:val="left"/>
              <w:spacing w:before="120" w:after="45" w:line="240" w:lineRule="auto"/>
            </w:pPr>
            <w:r>
              <w:rPr>
                <w:sz w:val="20"/>
                <w:szCs w:val="20"/>
              </w:rPr>
              <w:t xml:space="preserve">сведения о состоянии пожарной безопасности жилого помещения, в котором создается детский дом семейного типа</w:t>
            </w:r>
          </w:p>
        </w:tc>
      </w:tr>
      <w:tr>
        <w:trPr/>
        <w:tc>
          <w:tcPr>
            <w:tcW w:w="1793" w:type="pct"/>
            <w:vAlign w:val="top"/>
            <w:vMerge w:val="restart"/>
          </w:tcPr>
          <w:p>
            <w:pPr>
              <w:jc w:val="left"/>
              <w:spacing w:before="120" w:after="45" w:line="240" w:lineRule="auto"/>
            </w:pPr>
            <w:r>
              <w:rPr>
                <w:sz w:val="20"/>
                <w:szCs w:val="20"/>
              </w:rPr>
              <w:t xml:space="preserve">64. Принятие решения об изменении фамилии несовершеннолетнего и собственного имени несовершеннолетнего старше 6 лет</w:t>
            </w:r>
          </w:p>
        </w:tc>
        <w:tc>
          <w:tcPr>
            <w:tcW w:w="831" w:type="pct"/>
            <w:vAlign w:val="top"/>
            <w:vMerge w:val="restart"/>
          </w:tcPr>
          <w:p>
            <w:pPr>
              <w:jc w:val="left"/>
              <w:spacing w:before="120" w:after="45" w:line="240" w:lineRule="auto"/>
            </w:pPr>
            <w:r>
              <w:rPr>
                <w:sz w:val="20"/>
                <w:szCs w:val="20"/>
              </w:rPr>
              <w:t xml:space="preserve">пункт 4.9</w:t>
            </w:r>
          </w:p>
        </w:tc>
        <w:tc>
          <w:tcPr>
            <w:tcW w:w="2376" w:type="pct"/>
            <w:vAlign w:val="top"/>
            <w:vMerge w:val="restart"/>
          </w:tcPr>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pPr>
              <w:jc w:val="left"/>
              <w:spacing w:before="120" w:after="45" w:line="240" w:lineRule="auto"/>
            </w:pPr>
            <w:r>
              <w:rPr>
                <w:sz w:val="20"/>
                <w:szCs w:val="20"/>
              </w:rPr>
              <w:t xml:space="preserve">уведомление о возбуждении ходатайства об изменении фамилии ребенка</w:t>
            </w:r>
          </w:p>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65. Принятие решения об объявлении несовершеннолетнего полностью дееспособным (эмансипация)</w:t>
            </w:r>
          </w:p>
        </w:tc>
        <w:tc>
          <w:tcPr>
            <w:tcW w:w="831" w:type="pct"/>
            <w:vAlign w:val="top"/>
            <w:vMerge w:val="restart"/>
          </w:tcPr>
          <w:p>
            <w:pPr>
              <w:jc w:val="left"/>
              <w:spacing w:before="120" w:after="45" w:line="240" w:lineRule="auto"/>
            </w:pPr>
            <w:r>
              <w:rPr>
                <w:sz w:val="20"/>
                <w:szCs w:val="20"/>
              </w:rPr>
              <w:t xml:space="preserve">пункт 4.10</w:t>
            </w:r>
          </w:p>
        </w:tc>
        <w:tc>
          <w:tcPr>
            <w:tcW w:w="2376" w:type="pct"/>
            <w:vAlign w:val="top"/>
            <w:vMerge w:val="restart"/>
          </w:tcPr>
          <w:p>
            <w:pPr>
              <w:jc w:val="left"/>
              <w:spacing w:before="120" w:after="45" w:line="240" w:lineRule="auto"/>
            </w:pPr>
            <w:r>
              <w:rPr>
                <w:sz w:val="20"/>
                <w:szCs w:val="20"/>
              </w:rPr>
              <w:t xml:space="preserve">характеристика на несовершеннолетнего</w:t>
            </w:r>
          </w:p>
          <w:p>
            <w:pPr>
              <w:jc w:val="left"/>
              <w:spacing w:before="120" w:after="45" w:line="240" w:lineRule="auto"/>
            </w:pPr>
            <w:r>
              <w:rPr>
                <w:sz w:val="20"/>
                <w:szCs w:val="20"/>
              </w:rPr>
              <w:t xml:space="preserve">сведения о размере получаемой несовершеннолетним заработной платы либо доходов</w:t>
            </w:r>
          </w:p>
        </w:tc>
      </w:tr>
      <w:tr>
        <w:trPr/>
        <w:tc>
          <w:tcPr>
            <w:tcW w:w="1793" w:type="pct"/>
            <w:vAlign w:val="top"/>
            <w:vMerge w:val="restart"/>
          </w:tcPr>
          <w:p>
            <w:pPr>
              <w:jc w:val="left"/>
              <w:spacing w:before="120" w:after="45" w:line="240" w:lineRule="auto"/>
            </w:pPr>
            <w:r>
              <w:rPr>
                <w:sz w:val="20"/>
                <w:szCs w:val="20"/>
              </w:rPr>
              <w:t xml:space="preserve">65</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831" w:type="pct"/>
            <w:vAlign w:val="top"/>
            <w:vMerge w:val="restart"/>
          </w:tcPr>
          <w:p>
            <w:pPr>
              <w:jc w:val="left"/>
              <w:spacing w:before="120" w:after="45" w:line="240" w:lineRule="auto"/>
            </w:pPr>
            <w:r>
              <w:rPr>
                <w:sz w:val="20"/>
                <w:szCs w:val="20"/>
              </w:rPr>
              <w:t xml:space="preserve">пункт 8.4</w:t>
            </w:r>
            <w:r>
              <w:rPr>
                <w:sz w:val="20"/>
                <w:szCs w:val="20"/>
                <w:vertAlign w:val="superscript"/>
              </w:rPr>
              <w:t xml:space="preserve">1</w:t>
            </w:r>
            <w:r>
              <w:rPr>
                <w:sz w:val="20"/>
                <w:szCs w:val="20"/>
              </w:rPr>
              <w:t xml:space="preserve"> перечня</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содержащая сведения о записях актов гражданского состояния</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домах в населенном пункте по месту их жительства (пребывания)</w:t>
            </w:r>
          </w:p>
          <w:p>
            <w:pPr>
              <w:jc w:val="left"/>
              <w:spacing w:before="120" w:after="45" w:line="240" w:lineRule="auto"/>
            </w:pPr>
            <w:r>
              <w:rPr>
                <w:sz w:val="20"/>
                <w:szCs w:val="20"/>
              </w:rPr>
              <w:t xml:space="preserve">выписки из регистрационной книги о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vAlign w:val="top"/>
            <w:vMerge w:val="restart"/>
          </w:tcPr>
          <w:p>
            <w:pPr>
              <w:jc w:val="left"/>
              <w:spacing w:before="120" w:after="45" w:line="240" w:lineRule="auto"/>
            </w:pPr>
            <w:r>
              <w:rPr>
                <w:sz w:val="20"/>
                <w:szCs w:val="20"/>
              </w:rPr>
              <w:t xml:space="preserve">подпункт 9.3.1 пункта 9.3</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w:t>
            </w:r>
          </w:p>
          <w:p>
            <w:pPr>
              <w:jc w:val="left"/>
              <w:spacing w:before="120" w:after="45" w:line="240" w:lineRule="auto"/>
            </w:pPr>
            <w:r>
              <w:rPr>
                <w:sz w:val="20"/>
                <w:szCs w:val="20"/>
              </w:rPr>
              <w:t xml:space="preserve">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pPr>
              <w:jc w:val="left"/>
              <w:spacing w:before="120" w:after="45" w:line="240" w:lineRule="auto"/>
            </w:pPr>
            <w:r>
              <w:rPr>
                <w:sz w:val="20"/>
                <w:szCs w:val="20"/>
              </w:rPr>
              <w:t xml:space="preserve">технические условия на инженерно-техническое обеспечение объекта</w:t>
            </w:r>
          </w:p>
        </w:tc>
      </w:tr>
      <w:tr>
        <w:trPr/>
        <w:tc>
          <w:tcPr>
            <w:tcW w:w="1793" w:type="pct"/>
            <w:vAlign w:val="top"/>
            <w:vMerge w:val="restart"/>
          </w:tcPr>
          <w:p>
            <w:pPr>
              <w:jc w:val="left"/>
              <w:spacing w:before="120" w:after="45" w:line="240" w:lineRule="auto"/>
            </w:pPr>
            <w:r>
              <w:rPr>
                <w:sz w:val="20"/>
                <w:szCs w:val="20"/>
              </w:rPr>
              <w:t xml:space="preserve">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vAlign w:val="top"/>
            <w:vMerge w:val="restart"/>
          </w:tcPr>
          <w:p>
            <w:pPr>
              <w:jc w:val="left"/>
              <w:spacing w:before="120" w:after="45" w:line="240" w:lineRule="auto"/>
            </w:pPr>
            <w:r>
              <w:rPr>
                <w:sz w:val="20"/>
                <w:szCs w:val="20"/>
              </w:rPr>
              <w:t xml:space="preserve">подпункт 9.3.2 пункта 9.3</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 выдаваемая организациями жилищно-коммунального хозяйства</w:t>
            </w:r>
          </w:p>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w:t>
            </w:r>
          </w:p>
          <w:p>
            <w:pPr>
              <w:jc w:val="left"/>
              <w:spacing w:before="120" w:after="45" w:line="240" w:lineRule="auto"/>
            </w:pPr>
            <w:r>
              <w:rPr>
                <w:sz w:val="20"/>
                <w:szCs w:val="20"/>
              </w:rPr>
              <w:t xml:space="preserve">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trPr/>
        <w:tc>
          <w:tcPr>
            <w:tcW w:w="1793" w:type="pct"/>
            <w:vAlign w:val="top"/>
            <w:vMerge w:val="restart"/>
          </w:tcPr>
          <w:p>
            <w:pPr>
              <w:jc w:val="left"/>
              <w:spacing w:before="120" w:after="45" w:line="240" w:lineRule="auto"/>
            </w:pPr>
            <w:r>
              <w:rPr>
                <w:sz w:val="20"/>
                <w:szCs w:val="20"/>
              </w:rPr>
              <w:t xml:space="preserve">68. Выдача решения о продлении срока строительства капитального строения в виде жилого дома, дачи</w:t>
            </w:r>
          </w:p>
        </w:tc>
        <w:tc>
          <w:tcPr>
            <w:tcW w:w="831" w:type="pct"/>
            <w:vAlign w:val="top"/>
            <w:vMerge w:val="restart"/>
          </w:tcPr>
          <w:p>
            <w:pPr>
              <w:jc w:val="left"/>
              <w:spacing w:before="120" w:after="45" w:line="240" w:lineRule="auto"/>
            </w:pPr>
            <w:r>
              <w:rPr>
                <w:sz w:val="20"/>
                <w:szCs w:val="20"/>
              </w:rPr>
              <w:t xml:space="preserve">подпункт 9.3.5 пункта 9.3</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831" w:type="pct"/>
            <w:vAlign w:val="top"/>
            <w:vMerge w:val="restart"/>
          </w:tcPr>
          <w:p>
            <w:pPr>
              <w:jc w:val="left"/>
              <w:spacing w:before="120" w:after="45" w:line="240" w:lineRule="auto"/>
            </w:pPr>
            <w:r>
              <w:rPr>
                <w:sz w:val="20"/>
                <w:szCs w:val="20"/>
              </w:rPr>
              <w:t xml:space="preserve">подпункт 9.3.6 пункта 9.3</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w:t>
            </w:r>
          </w:p>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70. Принятие решения по самовольному строительству в установленном порядке</w:t>
            </w:r>
          </w:p>
        </w:tc>
        <w:tc>
          <w:tcPr>
            <w:tcW w:w="831" w:type="pct"/>
            <w:vAlign w:val="top"/>
            <w:vMerge w:val="restart"/>
          </w:tcPr>
          <w:p>
            <w:pPr>
              <w:jc w:val="left"/>
              <w:spacing w:before="120" w:after="45" w:line="240" w:lineRule="auto"/>
            </w:pPr>
            <w:r>
              <w:rPr>
                <w:sz w:val="20"/>
                <w:szCs w:val="20"/>
              </w:rPr>
              <w:t xml:space="preserve">пункт 9.4</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71. Оказание услуг по газификации одноквартирного жилого дома с оказанием гражданину комплексной услуги газоснабжающей организацией</w:t>
            </w:r>
          </w:p>
        </w:tc>
        <w:tc>
          <w:tcPr>
            <w:tcW w:w="831" w:type="pct"/>
            <w:vAlign w:val="top"/>
            <w:vMerge w:val="restart"/>
          </w:tcPr>
          <w:p>
            <w:pPr>
              <w:jc w:val="left"/>
              <w:spacing w:before="120" w:after="45" w:line="240" w:lineRule="auto"/>
            </w:pPr>
            <w:r>
              <w:rPr>
                <w:sz w:val="20"/>
                <w:szCs w:val="20"/>
              </w:rPr>
              <w:t xml:space="preserve">пункт 10.3</w:t>
            </w:r>
          </w:p>
        </w:tc>
        <w:tc>
          <w:tcPr>
            <w:tcW w:w="2376" w:type="pct"/>
            <w:vAlign w:val="top"/>
            <w:vMerge w:val="restart"/>
          </w:tcPr>
          <w:p>
            <w:pPr>
              <w:jc w:val="left"/>
              <w:spacing w:before="120" w:after="45" w:line="240" w:lineRule="auto"/>
            </w:pPr>
            <w:r>
              <w:rPr>
                <w:sz w:val="20"/>
                <w:szCs w:val="20"/>
              </w:rPr>
              <w:t xml:space="preserve">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trPr/>
        <w:tc>
          <w:tcPr>
            <w:tcW w:w="1793" w:type="pct"/>
            <w:vAlign w:val="top"/>
            <w:vMerge w:val="restart"/>
          </w:tcPr>
          <w:p>
            <w:pPr>
              <w:jc w:val="left"/>
              <w:spacing w:before="120" w:after="45" w:line="240" w:lineRule="auto"/>
            </w:pPr>
            <w:r>
              <w:rPr>
                <w:sz w:val="20"/>
                <w:szCs w:val="20"/>
              </w:rPr>
              <w:t xml:space="preserve">72.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2</w:t>
            </w:r>
          </w:p>
        </w:tc>
        <w:tc>
          <w:tcPr>
            <w:tcW w:w="2376" w:type="pct"/>
            <w:vAlign w:val="top"/>
            <w:vMerge w:val="restart"/>
          </w:tcPr>
          <w:p>
            <w:pPr>
              <w:jc w:val="left"/>
              <w:spacing w:before="120" w:after="45" w:line="240" w:lineRule="auto"/>
            </w:pPr>
            <w:r>
              <w:rPr>
                <w:sz w:val="20"/>
                <w:szCs w:val="20"/>
              </w:rPr>
              <w:t xml:space="preserve">справка о наличии централизованного теплоснабжения</w:t>
            </w:r>
          </w:p>
          <w:p>
            <w:pPr>
              <w:jc w:val="left"/>
              <w:spacing w:before="120" w:after="45" w:line="240" w:lineRule="auto"/>
            </w:pPr>
            <w:r>
              <w:rPr>
                <w:sz w:val="20"/>
                <w:szCs w:val="20"/>
              </w:rPr>
              <w:t xml:space="preserve">справка о наличии централизованного газоснабжения</w:t>
            </w:r>
          </w:p>
          <w:p>
            <w:pPr>
              <w:jc w:val="left"/>
              <w:spacing w:before="120" w:after="45" w:line="240" w:lineRule="auto"/>
            </w:pPr>
            <w:r>
              <w:rPr>
                <w:sz w:val="20"/>
                <w:szCs w:val="20"/>
              </w:rPr>
              <w:t xml:space="preserve">справка (справки) о принадлежащих гражданину правах на объекты недвижимого имущества**</w:t>
            </w:r>
          </w:p>
          <w:p>
            <w:pPr>
              <w:jc w:val="left"/>
              <w:spacing w:before="120" w:after="45" w:line="240" w:lineRule="auto"/>
            </w:pPr>
            <w:r>
              <w:rPr>
                <w:sz w:val="20"/>
                <w:szCs w:val="20"/>
              </w:rPr>
              <w:t xml:space="preserve">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r>
        <w:trPr/>
        <w:tc>
          <w:tcPr>
            <w:tcW w:w="1793" w:type="pct"/>
            <w:vAlign w:val="top"/>
            <w:vMerge w:val="restart"/>
          </w:tcPr>
          <w:p>
            <w:pPr>
              <w:jc w:val="left"/>
              <w:spacing w:before="120" w:after="45" w:line="240" w:lineRule="auto"/>
            </w:pPr>
            <w:r>
              <w:rPr>
                <w:sz w:val="20"/>
                <w:szCs w:val="20"/>
              </w:rPr>
              <w:t xml:space="preserve">72</w:t>
            </w:r>
            <w:r>
              <w:rPr>
                <w:sz w:val="20"/>
                <w:szCs w:val="20"/>
                <w:vertAlign w:val="superscript"/>
              </w:rPr>
              <w:t xml:space="preserve">1</w:t>
            </w:r>
            <w:r>
              <w:rPr>
                <w:sz w:val="20"/>
                <w:szCs w:val="20"/>
              </w:rPr>
              <w:t xml:space="preserve">.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3</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 (при необходимости)</w:t>
            </w:r>
          </w:p>
        </w:tc>
      </w:tr>
      <w:tr>
        <w:trPr/>
        <w:tc>
          <w:tcPr>
            <w:tcW w:w="1793" w:type="pct"/>
            <w:vAlign w:val="top"/>
            <w:vMerge w:val="restart"/>
          </w:tcPr>
          <w:p>
            <w:pPr>
              <w:jc w:val="left"/>
              <w:spacing w:before="120" w:after="45" w:line="240" w:lineRule="auto"/>
            </w:pPr>
            <w:r>
              <w:rPr>
                <w:sz w:val="20"/>
                <w:szCs w:val="20"/>
              </w:rPr>
              <w:t xml:space="preserve">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31" w:type="pct"/>
            <w:vAlign w:val="top"/>
            <w:vMerge w:val="restart"/>
          </w:tcPr>
          <w:p>
            <w:pPr>
              <w:jc w:val="left"/>
              <w:spacing w:before="120" w:after="45" w:line="240" w:lineRule="auto"/>
            </w:pPr>
            <w:r>
              <w:rPr>
                <w:sz w:val="20"/>
                <w:szCs w:val="20"/>
              </w:rPr>
              <w:t xml:space="preserve">пункт 10.19</w:t>
            </w:r>
          </w:p>
        </w:tc>
        <w:tc>
          <w:tcPr>
            <w:tcW w:w="2376" w:type="pct"/>
            <w:vAlign w:val="top"/>
            <w:vMerge w:val="restart"/>
          </w:tcPr>
          <w:p>
            <w:pPr>
              <w:jc w:val="left"/>
              <w:spacing w:before="120" w:after="45" w:line="240" w:lineRule="auto"/>
            </w:pPr>
            <w:r>
              <w:rPr>
                <w:sz w:val="20"/>
                <w:szCs w:val="20"/>
              </w:rPr>
              <w:t xml:space="preserve">согласование с газоснабжающей организацией вопроса о возможности газификации эксплуатируемого жилищного фонда гражданина</w:t>
            </w:r>
          </w:p>
          <w:p>
            <w:pPr>
              <w:jc w:val="left"/>
              <w:spacing w:before="120" w:after="45" w:line="240" w:lineRule="auto"/>
            </w:pPr>
            <w:r>
              <w:rPr>
                <w:sz w:val="20"/>
                <w:szCs w:val="20"/>
              </w:rPr>
              <w:t xml:space="preserve">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trPr/>
        <w:tc>
          <w:tcPr>
            <w:tcW w:w="1793" w:type="pct"/>
            <w:vAlign w:val="top"/>
            <w:vMerge w:val="restart"/>
          </w:tcPr>
          <w:p>
            <w:pPr>
              <w:jc w:val="left"/>
              <w:spacing w:before="120" w:after="45" w:line="240" w:lineRule="auto"/>
            </w:pPr>
            <w:r>
              <w:rPr>
                <w:sz w:val="20"/>
                <w:szCs w:val="20"/>
              </w:rPr>
              <w:t xml:space="preserve">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31" w:type="pct"/>
            <w:vAlign w:val="top"/>
            <w:vMerge w:val="restart"/>
          </w:tcPr>
          <w:p>
            <w:pPr>
              <w:jc w:val="left"/>
              <w:spacing w:before="120" w:after="45" w:line="240" w:lineRule="auto"/>
            </w:pPr>
            <w:r>
              <w:rPr>
                <w:sz w:val="20"/>
                <w:szCs w:val="20"/>
              </w:rPr>
              <w:t xml:space="preserve">пункт 10.21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tc>
      </w:tr>
      <w:tr>
        <w:trPr/>
        <w:tc>
          <w:tcPr>
            <w:tcW w:w="1793" w:type="pct"/>
            <w:vAlign w:val="top"/>
            <w:vMerge w:val="restart"/>
          </w:tcPr>
          <w:p>
            <w:pPr>
              <w:jc w:val="left"/>
              <w:spacing w:before="120" w:after="45" w:line="240" w:lineRule="auto"/>
            </w:pPr>
            <w:r>
              <w:rPr>
                <w:sz w:val="20"/>
                <w:szCs w:val="20"/>
              </w:rPr>
              <w:t xml:space="preserve">75. Принятие решения о постановке граждан на учет нуждающихся в местах хранения транспортных средств</w:t>
            </w:r>
          </w:p>
        </w:tc>
        <w:tc>
          <w:tcPr>
            <w:tcW w:w="831" w:type="pct"/>
            <w:vAlign w:val="top"/>
            <w:vMerge w:val="restart"/>
          </w:tcPr>
          <w:p>
            <w:pPr>
              <w:jc w:val="left"/>
              <w:spacing w:before="120" w:after="45" w:line="240" w:lineRule="auto"/>
            </w:pPr>
            <w:r>
              <w:rPr>
                <w:sz w:val="20"/>
                <w:szCs w:val="20"/>
              </w:rPr>
              <w:t xml:space="preserve">пункт 15.19</w:t>
            </w:r>
          </w:p>
        </w:tc>
        <w:tc>
          <w:tcPr>
            <w:tcW w:w="2376" w:type="pct"/>
            <w:vAlign w:val="top"/>
            <w:vMerge w:val="restart"/>
          </w:tcPr>
          <w:p>
            <w:pPr>
              <w:jc w:val="left"/>
              <w:spacing w:before="120" w:after="45" w:line="240" w:lineRule="auto"/>
            </w:pPr>
            <w:r>
              <w:rPr>
                <w:sz w:val="20"/>
                <w:szCs w:val="20"/>
              </w:rPr>
              <w:t xml:space="preserve">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1</w:t>
            </w:r>
            <w:r>
              <w:rPr>
                <w:sz w:val="20"/>
                <w:szCs w:val="20"/>
              </w:rPr>
              <w:t xml:space="preserve">. Выдача удостоверения тракториста-машиниста соответствующей категории (далее – удостоверение тракториста-машиниста)</w:t>
            </w:r>
          </w:p>
        </w:tc>
        <w:tc>
          <w:tcPr>
            <w:tcW w:w="831" w:type="pct"/>
            <w:vAlign w:val="top"/>
            <w:vMerge w:val="restart"/>
          </w:tcPr>
          <w:p>
            <w:pPr>
              <w:jc w:val="left"/>
              <w:spacing w:before="120" w:after="45" w:line="240" w:lineRule="auto"/>
            </w:pPr>
            <w:r>
              <w:rPr>
                <w:sz w:val="20"/>
                <w:szCs w:val="20"/>
              </w:rPr>
              <w:t xml:space="preserve">пункт 15.21</w:t>
            </w:r>
          </w:p>
        </w:tc>
        <w:tc>
          <w:tcPr>
            <w:tcW w:w="2376" w:type="pct"/>
            <w:vAlign w:val="top"/>
            <w:vMerge w:val="restart"/>
          </w:tcPr>
          <w:p>
            <w:pPr>
              <w:jc w:val="left"/>
              <w:spacing w:before="120" w:after="45" w:line="240" w:lineRule="auto"/>
            </w:pPr>
            <w:r>
              <w:rPr>
                <w:sz w:val="20"/>
                <w:szCs w:val="20"/>
              </w:rPr>
              <w:t xml:space="preserve">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2</w:t>
            </w:r>
            <w:r>
              <w:rPr>
                <w:sz w:val="20"/>
                <w:szCs w:val="20"/>
              </w:rPr>
              <w:t xml:space="preserve">. Обмен удостоверения тракториста-машиниста, а также удостоверения тракториста-машиниста (с категориями), выданных на территории республик бывшего СССР</w:t>
            </w:r>
          </w:p>
        </w:tc>
        <w:tc>
          <w:tcPr>
            <w:tcW w:w="831" w:type="pct"/>
            <w:vAlign w:val="top"/>
            <w:vMerge w:val="restart"/>
          </w:tcPr>
          <w:p>
            <w:pPr>
              <w:jc w:val="left"/>
              <w:spacing w:before="120" w:after="45" w:line="240" w:lineRule="auto"/>
            </w:pPr>
            <w:r>
              <w:rPr>
                <w:sz w:val="20"/>
                <w:szCs w:val="20"/>
              </w:rPr>
              <w:t xml:space="preserve">пункт 15.22</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3</w:t>
            </w:r>
            <w:r>
              <w:rPr>
                <w:sz w:val="20"/>
                <w:szCs w:val="20"/>
              </w:rPr>
              <w:t xml:space="preserve">.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31" w:type="pct"/>
            <w:vAlign w:val="top"/>
            <w:vMerge w:val="restart"/>
          </w:tcPr>
          <w:p>
            <w:pPr>
              <w:jc w:val="left"/>
              <w:spacing w:before="120" w:after="45" w:line="240" w:lineRule="auto"/>
            </w:pPr>
            <w:r>
              <w:rPr>
                <w:sz w:val="20"/>
                <w:szCs w:val="20"/>
              </w:rPr>
              <w:t xml:space="preserve">пункт 15.23</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4</w:t>
            </w:r>
            <w:r>
              <w:rPr>
                <w:sz w:val="20"/>
                <w:szCs w:val="20"/>
              </w:rPr>
              <w:t xml:space="preserve">.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31" w:type="pct"/>
            <w:vAlign w:val="top"/>
            <w:vMerge w:val="restart"/>
          </w:tcPr>
          <w:p>
            <w:pPr>
              <w:jc w:val="left"/>
              <w:spacing w:before="120" w:after="45" w:line="240" w:lineRule="auto"/>
            </w:pPr>
            <w:r>
              <w:rPr>
                <w:sz w:val="20"/>
                <w:szCs w:val="20"/>
              </w:rPr>
              <w:t xml:space="preserve">пункт 15.25</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5</w:t>
            </w:r>
            <w:r>
              <w:rPr>
                <w:sz w:val="20"/>
                <w:szCs w:val="20"/>
              </w:rPr>
              <w:t xml:space="preserve">.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31" w:type="pct"/>
            <w:vAlign w:val="top"/>
            <w:vMerge w:val="restart"/>
          </w:tcPr>
          <w:p>
            <w:pPr>
              <w:jc w:val="left"/>
              <w:spacing w:before="120" w:after="45" w:line="240" w:lineRule="auto"/>
            </w:pPr>
            <w:r>
              <w:rPr>
                <w:sz w:val="20"/>
                <w:szCs w:val="20"/>
              </w:rPr>
              <w:t xml:space="preserve">пункт 15.28</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76. Выдача разрешения на удаление объектов растительного мира</w:t>
            </w:r>
          </w:p>
        </w:tc>
        <w:tc>
          <w:tcPr>
            <w:tcW w:w="831" w:type="pct"/>
            <w:vAlign w:val="top"/>
            <w:vMerge w:val="restart"/>
          </w:tcPr>
          <w:p>
            <w:pPr>
              <w:jc w:val="left"/>
              <w:spacing w:before="120" w:after="45" w:line="240" w:lineRule="auto"/>
            </w:pPr>
            <w:r>
              <w:rPr>
                <w:sz w:val="20"/>
                <w:szCs w:val="20"/>
              </w:rPr>
              <w:t xml:space="preserve">пункт 16.6</w:t>
            </w:r>
          </w:p>
        </w:tc>
        <w:tc>
          <w:tcPr>
            <w:tcW w:w="2376" w:type="pct"/>
            <w:vAlign w:val="top"/>
            <w:vMerge w:val="restart"/>
          </w:tcPr>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pPr>
              <w:jc w:val="left"/>
              <w:spacing w:before="120" w:after="45" w:line="240" w:lineRule="auto"/>
            </w:pPr>
            <w:r>
              <w:rPr>
                <w:sz w:val="20"/>
                <w:szCs w:val="20"/>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trPr/>
        <w:tc>
          <w:tcPr>
            <w:tcW w:w="1793" w:type="pct"/>
            <w:vAlign w:val="top"/>
            <w:vMerge w:val="restart"/>
          </w:tcPr>
          <w:p>
            <w:pPr>
              <w:jc w:val="left"/>
              <w:spacing w:before="120" w:after="45" w:line="240" w:lineRule="auto"/>
            </w:pPr>
            <w:r>
              <w:rPr>
                <w:sz w:val="20"/>
                <w:szCs w:val="20"/>
              </w:rPr>
              <w:t xml:space="preserve">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31" w:type="pct"/>
            <w:vAlign w:val="top"/>
            <w:vMerge w:val="restart"/>
          </w:tcPr>
          <w:p>
            <w:pPr>
              <w:jc w:val="left"/>
              <w:spacing w:before="120" w:after="45" w:line="240" w:lineRule="auto"/>
            </w:pPr>
            <w:r>
              <w:rPr>
                <w:sz w:val="20"/>
                <w:szCs w:val="20"/>
              </w:rPr>
              <w:t xml:space="preserve">пункт 16.16</w:t>
            </w:r>
          </w:p>
        </w:tc>
        <w:tc>
          <w:tcPr>
            <w:tcW w:w="2376" w:type="pct"/>
            <w:vAlign w:val="top"/>
            <w:vMerge w:val="restart"/>
          </w:tcPr>
          <w:p>
            <w:pPr>
              <w:jc w:val="left"/>
              <w:spacing w:before="120" w:after="45" w:line="240" w:lineRule="auto"/>
            </w:pPr>
            <w:r>
              <w:rPr>
                <w:sz w:val="20"/>
                <w:szCs w:val="20"/>
              </w:rPr>
              <w:t xml:space="preserve">выписки из регистрационной книги о правах, ограничениях (обременениях) прав на земельный участок и (или) капитальное строение (здание, сооружение)**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pPr>
              <w:jc w:val="left"/>
              <w:spacing w:before="120" w:after="45" w:line="240" w:lineRule="auto"/>
            </w:pPr>
            <w:r>
              <w:rPr>
                <w:sz w:val="20"/>
                <w:szCs w:val="20"/>
              </w:rPr>
              <w:t xml:space="preserve">сведения об уничтожении или повреждении жилого дома в результате пожара, стихийного бедствия или иного вредного воздействия</w:t>
            </w:r>
          </w:p>
        </w:tc>
      </w:tr>
      <w:tr>
        <w:trPr/>
        <w:tc>
          <w:tcPr>
            <w:tcW w:w="1793" w:type="pct"/>
            <w:vAlign w:val="top"/>
            <w:vMerge w:val="restart"/>
          </w:tcPr>
          <w:p>
            <w:pPr>
              <w:jc w:val="left"/>
              <w:spacing w:before="120" w:after="45" w:line="240" w:lineRule="auto"/>
            </w:pPr>
            <w:r>
              <w:rPr>
                <w:sz w:val="20"/>
                <w:szCs w:val="20"/>
              </w:rPr>
              <w:t xml:space="preserve">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31" w:type="pct"/>
            <w:vAlign w:val="top"/>
            <w:vMerge w:val="restart"/>
          </w:tcPr>
          <w:p>
            <w:pPr>
              <w:jc w:val="left"/>
              <w:spacing w:before="120" w:after="45" w:line="240" w:lineRule="auto"/>
            </w:pPr>
            <w:r>
              <w:rPr>
                <w:sz w:val="20"/>
                <w:szCs w:val="20"/>
              </w:rPr>
              <w:t xml:space="preserve">пункт 18.16</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pPr>
              <w:jc w:val="left"/>
              <w:spacing w:before="120" w:after="45" w:line="240" w:lineRule="auto"/>
            </w:pPr>
            <w:r>
              <w:rPr>
                <w:sz w:val="20"/>
                <w:szCs w:val="20"/>
              </w:rPr>
              <w:t xml:space="preserve">сведения о наличии у гражданина в собственности недвижимого имущества, транспортных средств</w:t>
            </w:r>
          </w:p>
        </w:tc>
      </w:tr>
      <w:tr>
        <w:trPr/>
        <w:tc>
          <w:tcPr>
            <w:tcW w:w="1793" w:type="pct"/>
            <w:vAlign w:val="top"/>
            <w:vMerge w:val="restart"/>
          </w:tcPr>
          <w:p>
            <w:pPr>
              <w:jc w:val="left"/>
              <w:spacing w:before="120" w:after="45" w:line="240" w:lineRule="auto"/>
            </w:pPr>
            <w:r>
              <w:rPr>
                <w:sz w:val="20"/>
                <w:szCs w:val="20"/>
              </w:rPr>
              <w:t xml:space="preserve">79. Принятие решения об изменении установленного законодательством срока уплаты налога, сбора (пошлины), пеней</w:t>
            </w:r>
          </w:p>
        </w:tc>
        <w:tc>
          <w:tcPr>
            <w:tcW w:w="831" w:type="pct"/>
            <w:vAlign w:val="top"/>
            <w:vMerge w:val="restart"/>
          </w:tcPr>
          <w:p>
            <w:pPr>
              <w:jc w:val="left"/>
              <w:spacing w:before="120" w:after="45" w:line="240" w:lineRule="auto"/>
            </w:pPr>
            <w:r>
              <w:rPr>
                <w:sz w:val="20"/>
                <w:szCs w:val="20"/>
              </w:rPr>
              <w:t xml:space="preserve">пункт 18.17</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pPr>
              <w:jc w:val="left"/>
              <w:spacing w:before="120" w:after="45" w:line="240" w:lineRule="auto"/>
            </w:pPr>
            <w:r>
              <w:rPr>
                <w:sz w:val="20"/>
                <w:szCs w:val="20"/>
              </w:rPr>
              <w:t xml:space="preserve">сведения о наличии у гражданина в собственности недвижимого имущества, транспортных средств</w:t>
            </w:r>
          </w:p>
        </w:tc>
      </w:tr>
      <w:tr>
        <w:trPr/>
        <w:tc>
          <w:tcPr>
            <w:tcW w:w="1793" w:type="pct"/>
            <w:vAlign w:val="top"/>
            <w:vMerge w:val="restart"/>
          </w:tcPr>
          <w:p>
            <w:pPr>
              <w:jc w:val="left"/>
              <w:spacing w:before="120" w:after="45" w:line="240" w:lineRule="auto"/>
            </w:pPr>
            <w:r>
              <w:rPr>
                <w:sz w:val="20"/>
                <w:szCs w:val="20"/>
              </w:rPr>
              <w:t xml:space="preserve">80.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31" w:type="pct"/>
            <w:vAlign w:val="top"/>
            <w:vMerge w:val="restart"/>
          </w:tcPr>
          <w:p>
            <w:pPr>
              <w:jc w:val="left"/>
              <w:spacing w:before="120" w:after="45" w:line="240" w:lineRule="auto"/>
            </w:pPr>
            <w:r>
              <w:rPr>
                <w:sz w:val="20"/>
                <w:szCs w:val="20"/>
              </w:rPr>
              <w:t xml:space="preserve">пункт 22.8</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trPr/>
        <w:tc>
          <w:tcPr>
            <w:tcW w:w="1793" w:type="pct"/>
            <w:vAlign w:val="top"/>
            <w:vMerge w:val="restart"/>
          </w:tcPr>
          <w:p>
            <w:pPr>
              <w:jc w:val="left"/>
              <w:spacing w:before="120" w:after="45" w:line="240" w:lineRule="auto"/>
            </w:pPr>
            <w:r>
              <w:rPr>
                <w:sz w:val="20"/>
                <w:szCs w:val="20"/>
              </w:rPr>
              <w:t xml:space="preserve">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31" w:type="pct"/>
            <w:vAlign w:val="top"/>
            <w:vMerge w:val="restart"/>
          </w:tcPr>
          <w:p>
            <w:pPr>
              <w:jc w:val="left"/>
              <w:spacing w:before="120" w:after="45" w:line="240" w:lineRule="auto"/>
            </w:pPr>
            <w:r>
              <w:rPr>
                <w:sz w:val="20"/>
                <w:szCs w:val="20"/>
              </w:rPr>
              <w:t xml:space="preserve">пункт 22.9</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trPr/>
        <w:tc>
          <w:tcPr>
            <w:tcW w:w="1793" w:type="pct"/>
            <w:vAlign w:val="top"/>
            <w:vMerge w:val="restart"/>
          </w:tcPr>
          <w:p>
            <w:pPr>
              <w:jc w:val="left"/>
              <w:spacing w:before="120" w:after="45" w:line="240" w:lineRule="auto"/>
            </w:pPr>
            <w:r>
              <w:rPr>
                <w:sz w:val="20"/>
                <w:szCs w:val="20"/>
              </w:rPr>
              <w:t xml:space="preserve">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капитальное строение, изолированное помещение, машино-место**</w:t>
            </w:r>
          </w:p>
        </w:tc>
      </w:tr>
      <w:tr>
        <w:trPr/>
        <w:tc>
          <w:tcPr>
            <w:tcW w:w="1793" w:type="pct"/>
            <w:vAlign w:val="top"/>
            <w:vMerge w:val="restart"/>
          </w:tcPr>
          <w:p>
            <w:pPr>
              <w:jc w:val="left"/>
              <w:spacing w:before="120" w:after="45" w:line="240" w:lineRule="auto"/>
            </w:pPr>
            <w:r>
              <w:rPr>
                <w:sz w:val="20"/>
                <w:szCs w:val="20"/>
              </w:rPr>
              <w:t xml:space="preserve">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2</w:t>
            </w:r>
          </w:p>
        </w:tc>
        <w:tc>
          <w:tcPr>
            <w:tcW w:w="2376" w:type="pct"/>
            <w:vAlign w:val="top"/>
            <w:vMerge w:val="restart"/>
          </w:tcPr>
          <w:p>
            <w:pPr>
              <w:jc w:val="left"/>
              <w:spacing w:before="120" w:after="45" w:line="240" w:lineRule="auto"/>
            </w:pPr>
            <w:r>
              <w:rPr>
                <w:sz w:val="20"/>
                <w:szCs w:val="20"/>
              </w:rPr>
              <w:t xml:space="preserve">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trPr/>
        <w:tc>
          <w:tcPr>
            <w:tcW w:w="1793" w:type="pct"/>
            <w:vAlign w:val="top"/>
            <w:vMerge w:val="restart"/>
          </w:tcPr>
          <w:p>
            <w:pPr>
              <w:jc w:val="left"/>
              <w:spacing w:before="120" w:after="45" w:line="240" w:lineRule="auto"/>
            </w:pPr>
            <w:r>
              <w:rPr>
                <w:sz w:val="20"/>
                <w:szCs w:val="20"/>
              </w:rPr>
              <w:t xml:space="preserve">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3</w:t>
            </w:r>
          </w:p>
        </w:tc>
        <w:tc>
          <w:tcPr>
            <w:tcW w:w="2376" w:type="pct"/>
            <w:vAlign w:val="top"/>
            <w:vMerge w:val="restart"/>
          </w:tcPr>
          <w:p>
            <w:pPr>
              <w:jc w:val="left"/>
              <w:spacing w:before="120" w:after="45" w:line="240" w:lineRule="auto"/>
            </w:pPr>
            <w:r>
              <w:rPr>
                <w:sz w:val="20"/>
                <w:szCs w:val="20"/>
              </w:rPr>
              <w:t xml:space="preserve">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trPr/>
        <w:tc>
          <w:tcPr>
            <w:tcW w:w="1793" w:type="pct"/>
            <w:vAlign w:val="top"/>
            <w:vMerge w:val="restart"/>
          </w:tcPr>
          <w:p>
            <w:pPr>
              <w:jc w:val="left"/>
              <w:spacing w:before="120" w:after="45" w:line="240" w:lineRule="auto"/>
            </w:pPr>
            <w:r>
              <w:rPr>
                <w:sz w:val="20"/>
                <w:szCs w:val="20"/>
              </w:rPr>
              <w:t xml:space="preserve">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31" w:type="pct"/>
            <w:vAlign w:val="top"/>
            <w:vMerge w:val="restart"/>
          </w:tcPr>
          <w:p>
            <w:pPr>
              <w:jc w:val="left"/>
              <w:spacing w:before="120" w:after="45" w:line="240" w:lineRule="auto"/>
            </w:pPr>
            <w:r>
              <w:rPr>
                <w:sz w:val="20"/>
                <w:szCs w:val="20"/>
              </w:rPr>
              <w:t xml:space="preserve">пункт 22.24</w:t>
            </w:r>
          </w:p>
        </w:tc>
        <w:tc>
          <w:tcPr>
            <w:tcW w:w="2376" w:type="pct"/>
            <w:vAlign w:val="top"/>
            <w:vMerge w:val="restart"/>
          </w:tcPr>
          <w:p>
            <w:pPr>
              <w:jc w:val="left"/>
              <w:spacing w:before="120" w:after="45" w:line="240" w:lineRule="auto"/>
            </w:pPr>
            <w:r>
              <w:rPr>
                <w:sz w:val="20"/>
                <w:szCs w:val="20"/>
              </w:rPr>
              <w:t xml:space="preserve">справка о последнем месте жительства наследодателя и о составе его семьи на день смерти</w:t>
            </w:r>
          </w:p>
          <w:p>
            <w:pPr>
              <w:jc w:val="left"/>
              <w:spacing w:before="120" w:after="45" w:line="240" w:lineRule="auto"/>
            </w:pPr>
            <w:r>
              <w:rPr>
                <w:sz w:val="20"/>
                <w:szCs w:val="20"/>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trPr/>
        <w:tc>
          <w:tcPr>
            <w:tcW w:w="1793" w:type="pct"/>
            <w:vAlign w:val="top"/>
            <w:vMerge w:val="restart"/>
          </w:tcPr>
          <w:p>
            <w:pPr>
              <w:jc w:val="left"/>
              <w:spacing w:before="120" w:after="45" w:line="240" w:lineRule="auto"/>
            </w:pPr>
            <w:r>
              <w:rPr>
                <w:sz w:val="20"/>
                <w:szCs w:val="20"/>
              </w:rPr>
              <w:t xml:space="preserve">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31" w:type="pct"/>
            <w:vAlign w:val="top"/>
            <w:vMerge w:val="restart"/>
          </w:tcPr>
          <w:p>
            <w:pPr>
              <w:jc w:val="left"/>
              <w:spacing w:before="120" w:after="45" w:line="240" w:lineRule="auto"/>
            </w:pPr>
            <w:r>
              <w:rPr>
                <w:sz w:val="20"/>
                <w:szCs w:val="20"/>
              </w:rPr>
              <w:t xml:space="preserve">пункт 22.24</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trPr/>
        <w:tc>
          <w:tcPr>
            <w:tcW w:w="1793" w:type="pct"/>
            <w:vAlign w:val="top"/>
            <w:tcBorders>
              <w:bottom w:val="single" w:sz="5" w:color="000000"/>
            </w:tcBorders>
            <w:vMerge w:val="restart"/>
          </w:tcPr>
          <w:p>
            <w:pPr>
              <w:jc w:val="left"/>
              <w:spacing w:before="120" w:after="45" w:line="240" w:lineRule="auto"/>
            </w:pPr>
            <w:r>
              <w:rPr>
                <w:sz w:val="20"/>
                <w:szCs w:val="20"/>
              </w:rPr>
              <w:t xml:space="preserve">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31" w:type="pct"/>
            <w:vAlign w:val="top"/>
            <w:tcBorders>
              <w:bottom w:val="single" w:sz="5" w:color="000000"/>
            </w:tcBorders>
            <w:vMerge w:val="restart"/>
          </w:tcPr>
          <w:p>
            <w:pPr>
              <w:jc w:val="left"/>
              <w:spacing w:before="120" w:after="45" w:line="240" w:lineRule="auto"/>
            </w:pPr>
            <w:r>
              <w:rPr>
                <w:sz w:val="20"/>
                <w:szCs w:val="20"/>
              </w:rPr>
              <w:t xml:space="preserve">пункт 22.24</w:t>
            </w:r>
            <w:r>
              <w:rPr>
                <w:sz w:val="20"/>
                <w:szCs w:val="20"/>
                <w:vertAlign w:val="superscript"/>
              </w:rPr>
              <w:t xml:space="preserve">2</w:t>
            </w:r>
          </w:p>
        </w:tc>
        <w:tc>
          <w:tcPr>
            <w:tcW w:w="2376" w:type="pct"/>
            <w:vAlign w:val="top"/>
            <w:tcBorders>
              <w:bottom w:val="single" w:sz="5" w:color="000000"/>
            </w:tcBorders>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pPr>
        <w:jc w:val="both"/>
        <w:ind w:left="0" w:right="0" w:firstLine="566.92913385827"/>
        <w:spacing w:after="60"/>
      </w:pPr>
      <w:r>
        <w:rPr>
          <w:sz w:val="20"/>
          <w:szCs w:val="20"/>
        </w:rPr>
        <w:t xml:space="preserve">**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pPr>
        <w:jc w:val="both"/>
        <w:ind w:left="0" w:right="0" w:firstLine="566.92913385827"/>
        <w:spacing w:after="240"/>
      </w:pPr>
      <w:r>
        <w:rPr>
          <w:sz w:val="20"/>
          <w:szCs w:val="20"/>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2023-05-26T15:14:12+03:00</dcterms:created>
  <dcterms:modified xsi:type="dcterms:W3CDTF">2023-05-26T15:14:12+03:00</dcterms:modified>
</cp:coreProperties>
</file>

<file path=docProps/custom.xml><?xml version="1.0" encoding="utf-8"?>
<Properties xmlns="http://schemas.openxmlformats.org/officeDocument/2006/custom-properties" xmlns:vt="http://schemas.openxmlformats.org/officeDocument/2006/docPropsVTypes"/>
</file>