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4C" w:rsidRDefault="0024004C">
      <w:pPr>
        <w:pStyle w:val="newncpi0"/>
        <w:jc w:val="center"/>
      </w:pPr>
      <w:r>
        <w:rPr>
          <w:rStyle w:val="name"/>
        </w:rPr>
        <w:t>ПОСТАНОВЛЕНИЕ </w:t>
      </w:r>
      <w:r>
        <w:rPr>
          <w:rStyle w:val="promulgator"/>
        </w:rPr>
        <w:t>СОВЕТА МИНИСТРОВ РЕСПУБЛИКИ БЕЛАРУСЬ</w:t>
      </w:r>
    </w:p>
    <w:p w:rsidR="0024004C" w:rsidRDefault="0024004C">
      <w:pPr>
        <w:pStyle w:val="newncpi"/>
        <w:ind w:firstLine="0"/>
        <w:jc w:val="center"/>
      </w:pPr>
      <w:r>
        <w:rPr>
          <w:rStyle w:val="datepr"/>
        </w:rPr>
        <w:t>20 декабря 2000 г.</w:t>
      </w:r>
      <w:r>
        <w:rPr>
          <w:rStyle w:val="number"/>
        </w:rPr>
        <w:t xml:space="preserve"> № 1955</w:t>
      </w:r>
    </w:p>
    <w:p w:rsidR="0024004C" w:rsidRDefault="0024004C">
      <w:pPr>
        <w:pStyle w:val="title"/>
      </w:pPr>
      <w:proofErr w:type="gramStart"/>
      <w:r>
        <w:t>Об утверждении Положения об отнесении граждан к категории малообеспеченных для получения государственной поддержки при строительстве</w:t>
      </w:r>
      <w:proofErr w:type="gramEnd"/>
      <w:r>
        <w:t xml:space="preserve"> (реконструкции) или приобретении жилого помещения</w:t>
      </w:r>
    </w:p>
    <w:p w:rsidR="0024004C" w:rsidRDefault="0024004C">
      <w:pPr>
        <w:pStyle w:val="changei"/>
      </w:pPr>
      <w:r>
        <w:t>Изменения и дополнения:</w:t>
      </w:r>
    </w:p>
    <w:p w:rsidR="0024004C" w:rsidRDefault="0024004C">
      <w:pPr>
        <w:pStyle w:val="changeadd"/>
      </w:pPr>
      <w:r>
        <w:t>Постановление Совета Министров Республики Беларусь от 7 мая 2001 г. № 657 (Национальный реестр правовых актов Республики Беларусь, 2001 г., № 48, 5/5924) &lt;C20100657&gt;;</w:t>
      </w:r>
    </w:p>
    <w:p w:rsidR="0024004C" w:rsidRDefault="0024004C">
      <w:pPr>
        <w:pStyle w:val="changeadd"/>
      </w:pPr>
      <w:r>
        <w:t>Постановление Совета Министров Республики Беларусь от 28 февраля 2002 г. № 288 (Национальный реестр правовых актов Республики Беларусь, 2002 г., № 32, 5/10103) &lt;C20200288&gt;;</w:t>
      </w:r>
    </w:p>
    <w:p w:rsidR="0024004C" w:rsidRDefault="0024004C">
      <w:pPr>
        <w:pStyle w:val="changeadd"/>
      </w:pPr>
      <w:r>
        <w:t>Постановление Совета Министров Республики Беларусь от 27 марта 2002 г. № 376 (Национальный реестр правовых актов Республики Беларусь, 2002 г., № 38, 5/10182) &lt;C20200376&gt;;</w:t>
      </w:r>
    </w:p>
    <w:p w:rsidR="0024004C" w:rsidRDefault="0024004C">
      <w:pPr>
        <w:pStyle w:val="changeadd"/>
      </w:pPr>
      <w:r>
        <w:t>Постановление Совета Министров Республики Беларусь от 3 сентября 2003 г. № 1145 (Национальный реестр правовых актов Республики Беларусь, 2003 г., № 103, 5/13000) &lt;C20301145&gt;;</w:t>
      </w:r>
    </w:p>
    <w:p w:rsidR="0024004C" w:rsidRDefault="0024004C">
      <w:pPr>
        <w:pStyle w:val="changeadd"/>
      </w:pPr>
      <w:r>
        <w:t>Постановление Совета Министров Республики Беларусь от 13 июня 2006 г. № 743 (Национальный реестр правовых актов Республики Беларусь, 2006 г., № 93, 5/22443) &lt;C20600743&gt;;</w:t>
      </w:r>
    </w:p>
    <w:p w:rsidR="0024004C" w:rsidRDefault="0024004C">
      <w:pPr>
        <w:pStyle w:val="changeadd"/>
      </w:pPr>
      <w:r>
        <w:t>Постановление Совета Министров Республики Беларусь от 4 августа 2006 г. № 1011 (Национальный реестр правовых актов Республики Беларусь, 2006 г., № 129, 5/22719) &lt;C20601011&gt;;</w:t>
      </w:r>
    </w:p>
    <w:p w:rsidR="0024004C" w:rsidRDefault="0024004C">
      <w:pPr>
        <w:pStyle w:val="changeadd"/>
      </w:pPr>
      <w:r>
        <w:t>Постановление Совета Министров Республики Беларусь от 9 октября 2008 г. № 1489 (Национальный реестр правовых актов Республики Беларусь, 2008 г., № 248, 5/28505) &lt;C20801489&gt; </w:t>
      </w:r>
      <w:r>
        <w:rPr>
          <w:b/>
          <w:bCs/>
        </w:rPr>
        <w:t>- вступает в силу 1 января 2009 г.</w:t>
      </w:r>
      <w:r>
        <w:t>;</w:t>
      </w:r>
    </w:p>
    <w:p w:rsidR="0024004C" w:rsidRDefault="0024004C">
      <w:pPr>
        <w:pStyle w:val="changeadd"/>
      </w:pPr>
      <w:r>
        <w:t>Постановление Совета Министров Республики Беларусь от 11 декабря 2008 г. № 1912 (Национальный реестр правовых актов Республики Беларусь, 2008 г., № 304, 5/28944) &lt;C20801912&gt;;</w:t>
      </w:r>
    </w:p>
    <w:p w:rsidR="0024004C" w:rsidRDefault="0024004C">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24004C" w:rsidRDefault="0024004C">
      <w:pPr>
        <w:pStyle w:val="changeadd"/>
      </w:pPr>
      <w:r>
        <w:t>Постановление Совета Министров Республики Беларусь от 16 июня 2010 г. № 920 (Национальный реестр правовых актов Республики Беларусь, 2010 г., № 147, 5/32045) &lt;C21000920&gt;;</w:t>
      </w:r>
    </w:p>
    <w:p w:rsidR="0024004C" w:rsidRDefault="0024004C">
      <w:pPr>
        <w:pStyle w:val="changeadd"/>
      </w:pPr>
      <w:r>
        <w:t>Постановление Совета Министров Республики Беларусь от 1 декабря 2011 г. № 1628 (Национальный реестр правовых актов Республики Беларусь, 2011 г., № 137, 5/34881) &lt;C21101628&gt;;</w:t>
      </w:r>
    </w:p>
    <w:p w:rsidR="0024004C" w:rsidRDefault="0024004C">
      <w:pPr>
        <w:pStyle w:val="changeadd"/>
      </w:pPr>
      <w:r>
        <w:t>Постановление Совета Министров Республики Беларусь от 6 февраля 2012 г. № 123 (Национальный реестр правовых актов Республики Беларусь, 2012 г., № 20, 5/35229) &lt;C21200123&gt;;</w:t>
      </w:r>
    </w:p>
    <w:p w:rsidR="0024004C" w:rsidRDefault="0024004C">
      <w:pPr>
        <w:pStyle w:val="changeadd"/>
      </w:pPr>
      <w:r>
        <w:t>Постановление Совета Министров Республики Беларусь от 18 апреля 2012 г. № 366 (Национальный реестр правовых актов Республики Беларусь, 2012 г., № 50, 5/35623) &lt;C21200366&gt;;</w:t>
      </w:r>
    </w:p>
    <w:p w:rsidR="0024004C" w:rsidRDefault="0024004C">
      <w:pPr>
        <w:pStyle w:val="changeadd"/>
      </w:pPr>
      <w:r>
        <w:t>Постановление Совета Министров Республики Беларусь от 30 сентября 2013 г. № 854 (Национальный правовой Интернет-портал Республики Беларусь, 04.10.2013, 5/37865) &lt;C21300854&gt;;</w:t>
      </w:r>
    </w:p>
    <w:p w:rsidR="0024004C" w:rsidRDefault="0024004C">
      <w:pPr>
        <w:pStyle w:val="changeadd"/>
      </w:pPr>
      <w:r>
        <w:lastRenderedPageBreak/>
        <w:t>Постановление Совета Министров Республики Беларусь от 2 октября 2017 г. № 737 (Национальный правовой Интернет-портал Республики Беларусь, 06.10.2017, 5/44262) &lt;C21700737&gt;;</w:t>
      </w:r>
    </w:p>
    <w:p w:rsidR="0024004C" w:rsidRDefault="0024004C">
      <w:pPr>
        <w:pStyle w:val="changeadd"/>
      </w:pPr>
      <w:r>
        <w:t>Постановление Совета Министров Республики Беларусь от 4 ноября 2017 г. № 835 (Национальный правовой Интернет-портал Республики Беларусь, 16.11.2017, 5/44392) &lt;C21700835&gt;</w:t>
      </w:r>
    </w:p>
    <w:p w:rsidR="0024004C" w:rsidRDefault="0024004C">
      <w:pPr>
        <w:pStyle w:val="newncpi"/>
      </w:pPr>
      <w:r>
        <w:t> </w:t>
      </w:r>
    </w:p>
    <w:p w:rsidR="0024004C" w:rsidRDefault="0024004C">
      <w:pPr>
        <w:pStyle w:val="preamble"/>
      </w:pPr>
      <w:r>
        <w:t>Совет Министров Республики Беларусь ПОСТАНОВЛЯЕТ:</w:t>
      </w:r>
    </w:p>
    <w:p w:rsidR="0024004C" w:rsidRDefault="0024004C">
      <w:pPr>
        <w:pStyle w:val="point"/>
      </w:pPr>
      <w:r>
        <w:t>1. Утвердить прилагаемое Положение об отнесении граждан к категории малообеспеченных для получения государственной поддержки при строительстве (реконструкции) или приобретении жилого помещения.</w:t>
      </w:r>
    </w:p>
    <w:p w:rsidR="0024004C" w:rsidRDefault="0024004C">
      <w:pPr>
        <w:pStyle w:val="point"/>
      </w:pPr>
      <w:r>
        <w:t>2. Министерствам, другим республиканским органам государственного управления, открытому акционерному обществу «Сберегательный банк «Беларусбанк», местным исполнительным и распорядительным органам в месячный срок привести свои нормативные правовые акты в соответствие с настоящим постановлением.</w:t>
      </w:r>
    </w:p>
    <w:p w:rsidR="0024004C" w:rsidRDefault="0024004C">
      <w:pPr>
        <w:pStyle w:val="point"/>
      </w:pPr>
      <w:r>
        <w:t>3. Министерству труда в месячный срок разработать и утвердить единую форму представляемых гражданами сведений о совокупном доходе и имущественном положении семьи для получения государственной поддержки при строительстве (реконструкции) или приобретении жилого помещения.</w:t>
      </w:r>
    </w:p>
    <w:p w:rsidR="0024004C" w:rsidRDefault="0024004C">
      <w:pPr>
        <w:pStyle w:val="newncpi"/>
      </w:pPr>
      <w:r>
        <w:t> </w:t>
      </w:r>
    </w:p>
    <w:tbl>
      <w:tblPr>
        <w:tblStyle w:val="tablencpi"/>
        <w:tblW w:w="5000" w:type="pct"/>
        <w:tblLook w:val="04A0"/>
      </w:tblPr>
      <w:tblGrid>
        <w:gridCol w:w="4684"/>
        <w:gridCol w:w="4685"/>
      </w:tblGrid>
      <w:tr w:rsidR="0024004C">
        <w:tc>
          <w:tcPr>
            <w:tcW w:w="2500" w:type="pct"/>
            <w:tcMar>
              <w:top w:w="0" w:type="dxa"/>
              <w:left w:w="6" w:type="dxa"/>
              <w:bottom w:w="0" w:type="dxa"/>
              <w:right w:w="6" w:type="dxa"/>
            </w:tcMar>
            <w:vAlign w:val="bottom"/>
            <w:hideMark/>
          </w:tcPr>
          <w:p w:rsidR="0024004C" w:rsidRDefault="0024004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24004C" w:rsidRDefault="0024004C">
            <w:pPr>
              <w:pStyle w:val="newncpi0"/>
              <w:jc w:val="right"/>
            </w:pPr>
            <w:r>
              <w:rPr>
                <w:rStyle w:val="pers"/>
              </w:rPr>
              <w:t>В.Ермошин</w:t>
            </w:r>
          </w:p>
        </w:tc>
      </w:tr>
    </w:tbl>
    <w:p w:rsidR="0024004C" w:rsidRDefault="0024004C">
      <w:pPr>
        <w:pStyle w:val="newncpi"/>
      </w:pPr>
      <w:r>
        <w:t> </w:t>
      </w:r>
    </w:p>
    <w:tbl>
      <w:tblPr>
        <w:tblW w:w="5000" w:type="pct"/>
        <w:tblCellMar>
          <w:left w:w="0" w:type="dxa"/>
          <w:right w:w="0" w:type="dxa"/>
        </w:tblCellMar>
        <w:tblLook w:val="04A0"/>
      </w:tblPr>
      <w:tblGrid>
        <w:gridCol w:w="6673"/>
        <w:gridCol w:w="2696"/>
      </w:tblGrid>
      <w:tr w:rsidR="0024004C" w:rsidRPr="0024004C">
        <w:trPr>
          <w:trHeight w:val="238"/>
        </w:trPr>
        <w:tc>
          <w:tcPr>
            <w:tcW w:w="3561" w:type="pct"/>
            <w:tcMar>
              <w:top w:w="0" w:type="dxa"/>
              <w:left w:w="6" w:type="dxa"/>
              <w:bottom w:w="0" w:type="dxa"/>
              <w:right w:w="6" w:type="dxa"/>
            </w:tcMar>
            <w:hideMark/>
          </w:tcPr>
          <w:p w:rsidR="0024004C" w:rsidRDefault="0024004C">
            <w:pPr>
              <w:pStyle w:val="cap1"/>
            </w:pPr>
            <w:r>
              <w:t> </w:t>
            </w:r>
          </w:p>
        </w:tc>
        <w:tc>
          <w:tcPr>
            <w:tcW w:w="1439" w:type="pct"/>
            <w:tcMar>
              <w:top w:w="0" w:type="dxa"/>
              <w:left w:w="6" w:type="dxa"/>
              <w:bottom w:w="0" w:type="dxa"/>
              <w:right w:w="6" w:type="dxa"/>
            </w:tcMar>
            <w:hideMark/>
          </w:tcPr>
          <w:p w:rsidR="0024004C" w:rsidRDefault="0024004C">
            <w:pPr>
              <w:pStyle w:val="capu1"/>
            </w:pPr>
            <w:r>
              <w:t>УТВЕРЖДЕНО</w:t>
            </w:r>
          </w:p>
          <w:p w:rsidR="0024004C" w:rsidRDefault="0024004C">
            <w:pPr>
              <w:pStyle w:val="cap1"/>
            </w:pPr>
            <w:r>
              <w:t xml:space="preserve">Постановление </w:t>
            </w:r>
            <w:r>
              <w:br/>
              <w:t>Совета Министров</w:t>
            </w:r>
            <w:r>
              <w:br/>
              <w:t>Республики Беларусь</w:t>
            </w:r>
            <w:r>
              <w:br/>
              <w:t>20.12.2000 № 1955</w:t>
            </w:r>
            <w:r>
              <w:br/>
              <w:t xml:space="preserve">(в редакции постановления </w:t>
            </w:r>
            <w:r>
              <w:br/>
              <w:t xml:space="preserve">Совета Министров </w:t>
            </w:r>
            <w:r>
              <w:br/>
              <w:t>Республики Беларусь</w:t>
            </w:r>
            <w:r>
              <w:br/>
              <w:t>04.11.2017 № 835)</w:t>
            </w:r>
          </w:p>
        </w:tc>
      </w:tr>
    </w:tbl>
    <w:p w:rsidR="0024004C" w:rsidRDefault="0024004C">
      <w:pPr>
        <w:pStyle w:val="titleu"/>
      </w:pPr>
      <w:r>
        <w:t>ПОЛОЖЕНИЕ</w:t>
      </w:r>
      <w:r>
        <w:br/>
        <w:t>об отнесении граждан к категории малообеспеченных для получения государственной поддержки при строительстве (реконструкции) или приобретении жилого помещения</w:t>
      </w:r>
    </w:p>
    <w:p w:rsidR="0024004C" w:rsidRDefault="0024004C">
      <w:pPr>
        <w:pStyle w:val="point"/>
      </w:pPr>
      <w:r>
        <w:t>1. </w:t>
      </w:r>
      <w:proofErr w:type="gramStart"/>
      <w:r>
        <w:t>Настоящим Положением определяются условия и порядок отнесения граждан к категории малообеспеченных для получения льготных кредитов,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иных форм государственной поддержки при строительстве (реконструкции) или приобретении жилого помещения.</w:t>
      </w:r>
      <w:proofErr w:type="gramEnd"/>
    </w:p>
    <w:p w:rsidR="0024004C" w:rsidRDefault="0024004C">
      <w:pPr>
        <w:pStyle w:val="point"/>
      </w:pPr>
      <w:r>
        <w:t>2. </w:t>
      </w:r>
      <w:proofErr w:type="gramStart"/>
      <w:r>
        <w:t>Для целей настоящего Положения к малообеспеченным гражданам, имеющим право на получение льготных кредитов,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иных форм государственной поддержки при строительстве (реконструкции) или приобретении жилого помещения, относятся граждане, у которых среднемесячный совокупный доход на каждого члена</w:t>
      </w:r>
      <w:proofErr w:type="gramEnd"/>
      <w:r>
        <w:t xml:space="preserve"> </w:t>
      </w:r>
      <w:proofErr w:type="gramStart"/>
      <w:r>
        <w:t xml:space="preserve">семьи не превышает трехкратного среднемесячного среднедушевого минимального потребительского бюджета семьи из 4 человек, исчисленного за 12 месяцев, предшествующих месяцу подачи документов для включения в списки на получение льготных кредитов, для получения одноразовых субсидий, для </w:t>
      </w:r>
      <w:r>
        <w:lastRenderedPageBreak/>
        <w:t>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(для включения</w:t>
      </w:r>
      <w:proofErr w:type="gramEnd"/>
      <w:r>
        <w:t xml:space="preserve"> </w:t>
      </w:r>
      <w:proofErr w:type="gramStart"/>
      <w:r>
        <w:t>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банком на строительство (реконструкцию) жилых помещений, в случае утверждения данных списков в соответствии с частью второй подпункта 1.14 пункта 1 Указа Президента Республики Беларусь от 4 июля 2017 г. № 240 «О</w:t>
      </w:r>
      <w:proofErr w:type="gramEnd"/>
      <w:r>
        <w:t xml:space="preserve"> государственной поддержке граждан при строительстве (реконструкции) жилых помещений» (Национальный правовой Интернет-портал Республики Беларусь, 06.07.2017, 1/17147) или подачи документов для направления на заключение договора купли-продажи жилого помещения, строительство которого осуществлялось по государственному заказу (далее – подача документов), и располагающие заявленным имуществом, общая стоимость которого не превышает для получения:</w:t>
      </w:r>
    </w:p>
    <w:p w:rsidR="0024004C" w:rsidRDefault="0024004C">
      <w:pPr>
        <w:pStyle w:val="newncpi"/>
      </w:pPr>
      <w:r>
        <w:t>льготного кредита – двукратного предельного размера льготного кредита для данной семьи;</w:t>
      </w:r>
    </w:p>
    <w:p w:rsidR="0024004C" w:rsidRDefault="0024004C">
      <w:pPr>
        <w:pStyle w:val="newncpi"/>
      </w:pPr>
      <w:proofErr w:type="gramStart"/>
      <w:r>
        <w:t>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 двукратной стоимости жилого помещения исходя из принимаемой в расчет для определения размера субсидии стоимости 1 кв. метра общей площади жилого помещения и максимальной нормы предоставления общей площади жилого помещения социального пользования для данной семьи;</w:t>
      </w:r>
      <w:proofErr w:type="gramEnd"/>
    </w:p>
    <w:p w:rsidR="0024004C" w:rsidRDefault="0024004C">
      <w:pPr>
        <w:pStyle w:val="newncpi"/>
      </w:pPr>
      <w:proofErr w:type="gramStart"/>
      <w:r>
        <w:t>одноразовых субсидий – стоимости жилого помещения исходя из принимаемой в расчет для определения размера субсидии стоимости 1 кв. метра общей площади жилого помещения и максимальной нормы предоставления общей площади жилого помещения социального пользования для данной семьи.</w:t>
      </w:r>
      <w:proofErr w:type="gramEnd"/>
    </w:p>
    <w:p w:rsidR="0024004C" w:rsidRDefault="0024004C">
      <w:pPr>
        <w:pStyle w:val="point"/>
      </w:pPr>
      <w:r>
        <w:t>3. </w:t>
      </w:r>
      <w:proofErr w:type="gramStart"/>
      <w:r>
        <w:t>Для отнесения гражданина к категории малообеспеченных он представляет сведения о доходах и имуществе гражданина и членов его семьи в орган (организацию), принимающий решение о предоставлении гражданину льготных кредитов, одноразовых субсидий,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(в орган (организацию), утверждающий списки на получение</w:t>
      </w:r>
      <w:proofErr w:type="gramEnd"/>
      <w:r>
        <w:t xml:space="preserve"> </w:t>
      </w:r>
      <w:proofErr w:type="gramStart"/>
      <w:r>
        <w:t>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банком на строительство (реконструкцию) жилых помещений, в случае утверждения данных списков в соответствии с частью второй подпункта 1.14 пункта 1 Указа Президента Республики Беларусь от 4 июля 2017 г. № 240), по единой форме, утвержденной в</w:t>
      </w:r>
      <w:proofErr w:type="gramEnd"/>
      <w:r>
        <w:t xml:space="preserve"> установленном законодательством </w:t>
      </w:r>
      <w:proofErr w:type="gramStart"/>
      <w:r>
        <w:t>порядке</w:t>
      </w:r>
      <w:proofErr w:type="gramEnd"/>
      <w:r>
        <w:t>.</w:t>
      </w:r>
    </w:p>
    <w:p w:rsidR="0024004C" w:rsidRDefault="0024004C">
      <w:pPr>
        <w:pStyle w:val="point"/>
      </w:pPr>
      <w:r>
        <w:t>4. Совокупный доход семьи складывается из доходов всех членов семьи (со всеми видами доплат и надбавок), включающих:</w:t>
      </w:r>
    </w:p>
    <w:p w:rsidR="0024004C" w:rsidRDefault="0024004C">
      <w:pPr>
        <w:pStyle w:val="newncpi"/>
      </w:pPr>
      <w:proofErr w:type="gramStart"/>
      <w:r>
        <w:t>заработную плату в денежной и натуральной формах, премии и другие вознаграждения и выплаты, связанные с выполнением трудовых обязанностей, в том числе с учетом индексации (за исключением всех видов денежной компенсации);</w:t>
      </w:r>
      <w:proofErr w:type="gramEnd"/>
    </w:p>
    <w:p w:rsidR="0024004C" w:rsidRDefault="0024004C">
      <w:pPr>
        <w:pStyle w:val="newncpi"/>
      </w:pPr>
      <w:proofErr w:type="gramStart"/>
      <w:r>
        <w:t>денежное довольствие военнослужащих (кроме военнослужащих срочной военной службы, граждан, проходящих альтернативную службу), лиц рядового и начальствующего состава Следственного комитета, Государственного комитета судебных экспертиз,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 в том числе с учетом индексации, а также установленные законодательством дополнительные выплаты, носящие постоянный характер (за исключением всех</w:t>
      </w:r>
      <w:proofErr w:type="gramEnd"/>
      <w:r>
        <w:t xml:space="preserve"> видов денежной компенсации);</w:t>
      </w:r>
    </w:p>
    <w:p w:rsidR="0024004C" w:rsidRDefault="0024004C">
      <w:pPr>
        <w:pStyle w:val="newncpi"/>
      </w:pPr>
      <w:r>
        <w:lastRenderedPageBreak/>
        <w:t>вознаграждения, полученные гражданами за выполнение работ (оказание услуг) по заключенным гражданско-правовым договорам;</w:t>
      </w:r>
    </w:p>
    <w:p w:rsidR="0024004C" w:rsidRDefault="0024004C">
      <w:pPr>
        <w:pStyle w:val="newncpi"/>
      </w:pPr>
      <w:r>
        <w:t>доходы от осуществления предпринимательской, ремесленной деятельности и деятельности по оказанию услуг в сфере агроэкотуризма;</w:t>
      </w:r>
    </w:p>
    <w:p w:rsidR="0024004C" w:rsidRDefault="0024004C">
      <w:pPr>
        <w:pStyle w:val="newncpi"/>
      </w:pPr>
      <w:r>
        <w:t>доходы нотариусов, осуществляющих нотариальную деятельность в нотариальных бюро, адвокатов, осуществляющих адвокатскую деятельность индивидуально, а также доходы от осуществления видов деятельности, не относящихся к предпринимательской деятельности, при осуществлении которых уплачивается единый налог с индивидуальных предпринимателей и иных физических лиц;</w:t>
      </w:r>
    </w:p>
    <w:p w:rsidR="0024004C" w:rsidRDefault="0024004C">
      <w:pPr>
        <w:pStyle w:val="newncpi"/>
      </w:pPr>
      <w:r>
        <w:t>выплаты, произведенные за счет собственных средств организаций, за исключением государственных социальных гарантий, предусмотренных законодательными актами;</w:t>
      </w:r>
    </w:p>
    <w:p w:rsidR="0024004C" w:rsidRDefault="0024004C">
      <w:pPr>
        <w:pStyle w:val="newncpi"/>
      </w:pPr>
      <w:r>
        <w:t>доплаты за ученые степени и ученые звания;</w:t>
      </w:r>
    </w:p>
    <w:p w:rsidR="0024004C" w:rsidRDefault="0024004C">
      <w:pPr>
        <w:pStyle w:val="newncpi"/>
      </w:pPr>
      <w:r>
        <w:t>денежные выплаты гражданам, имеющим почетные звания, если они носят ежемесячный характер;</w:t>
      </w:r>
    </w:p>
    <w:p w:rsidR="0024004C" w:rsidRDefault="0024004C">
      <w:pPr>
        <w:pStyle w:val="newncpi"/>
      </w:pPr>
      <w:r>
        <w:t>все виды пенсий, в том числе получаемых из других государств, с учетом надбавок, доплат и повышений;</w:t>
      </w:r>
    </w:p>
    <w:p w:rsidR="0024004C" w:rsidRDefault="0024004C">
      <w:pPr>
        <w:pStyle w:val="newncpi"/>
      </w:pPr>
      <w:proofErr w:type="gramStart"/>
      <w:r>
        <w:t>все виды стипендий, выплачиваемых обучающимся в соответствии с законодательством;</w:t>
      </w:r>
      <w:proofErr w:type="gramEnd"/>
    </w:p>
    <w:p w:rsidR="0024004C" w:rsidRDefault="0024004C">
      <w:pPr>
        <w:pStyle w:val="newncpi"/>
      </w:pPr>
      <w:r>
        <w:t>гранты Президента Республики Беларусь в науке, образовании, здравоохранении, культуре;</w:t>
      </w:r>
    </w:p>
    <w:p w:rsidR="0024004C" w:rsidRDefault="0024004C">
      <w:pPr>
        <w:pStyle w:val="newncpi"/>
      </w:pPr>
      <w:proofErr w:type="gramStart"/>
      <w:r>
        <w:t>ежемесячное пособие родителям и женам (не вступившим в новый брак) военнослужащих, лиц начальствующего и рядового состава, смерть которых наступила в период прохождения военной службы, службы и связана с исполнением обязанностей военной службы (служебных обязанностей), рабочих и служащих, погибших (умерших) при выполнении служебного долга в Афганистане или других странах, где велись боевые действия, согласно перечню, определяемому Министерством обороны;</w:t>
      </w:r>
      <w:proofErr w:type="gramEnd"/>
    </w:p>
    <w:p w:rsidR="0024004C" w:rsidRDefault="0024004C">
      <w:pPr>
        <w:pStyle w:val="newncpi"/>
      </w:pPr>
      <w:r>
        <w:t>пособия по безработице;</w:t>
      </w:r>
    </w:p>
    <w:p w:rsidR="0024004C" w:rsidRDefault="0024004C">
      <w:pPr>
        <w:pStyle w:val="newncpi"/>
      </w:pPr>
      <w:r>
        <w:t>пособия по временной нетрудоспособности;</w:t>
      </w:r>
    </w:p>
    <w:p w:rsidR="0024004C" w:rsidRDefault="0024004C">
      <w:pPr>
        <w:pStyle w:val="newncpi"/>
      </w:pPr>
      <w:r>
        <w:t>пособия по уходу за инвалидом I группы либо лицом, достигшим 80-летнего возраста;</w:t>
      </w:r>
    </w:p>
    <w:p w:rsidR="0024004C" w:rsidRDefault="0024004C">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w:t>
      </w:r>
    </w:p>
    <w:p w:rsidR="0024004C" w:rsidRDefault="0024004C">
      <w:pPr>
        <w:pStyle w:val="newncpi"/>
      </w:pPr>
      <w:proofErr w:type="gramStart"/>
      <w:r>
        <w:t>ежемесячное государственное пособие подозреваемому или обвиняемому, временно отстраненным от должности органом, ведущим уголовный процесс, выплачиваемое в соответствии с постановлением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roofErr w:type="gramEnd"/>
    </w:p>
    <w:p w:rsidR="0024004C" w:rsidRDefault="0024004C">
      <w:pPr>
        <w:pStyle w:val="newncpi"/>
      </w:pPr>
      <w:r>
        <w:t>ежемесячное денежное содержание, предоставляемое в соответствии с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w:t>
      </w:r>
    </w:p>
    <w:p w:rsidR="0024004C" w:rsidRDefault="0024004C">
      <w:pPr>
        <w:pStyle w:val="newncpi"/>
      </w:pPr>
      <w:r>
        <w:t xml:space="preserve">ежемесячные страховые выплаты </w:t>
      </w:r>
      <w:proofErr w:type="gramStart"/>
      <w:r>
        <w:t>в соответствии с законодательством об обязательном страховании от несчастных случаев на производстве</w:t>
      </w:r>
      <w:proofErr w:type="gramEnd"/>
      <w:r>
        <w:t xml:space="preserve"> и профессиональных заболеваний;</w:t>
      </w:r>
    </w:p>
    <w:p w:rsidR="0024004C" w:rsidRDefault="0024004C">
      <w:pPr>
        <w:pStyle w:val="newncpi"/>
      </w:pPr>
      <w:r>
        <w:t>суммы полученных алиментов;</w:t>
      </w:r>
    </w:p>
    <w:p w:rsidR="0024004C" w:rsidRDefault="0024004C">
      <w:pPr>
        <w:pStyle w:val="newncpi"/>
      </w:pPr>
      <w:r>
        <w:t>доходы, полученные от использования объектов интеллектуальной собственности;</w:t>
      </w:r>
    </w:p>
    <w:p w:rsidR="0024004C" w:rsidRDefault="0024004C">
      <w:pPr>
        <w:pStyle w:val="newncpi"/>
      </w:pPr>
      <w:r>
        <w:lastRenderedPageBreak/>
        <w:t xml:space="preserve">доходы по акциям и иные доходы от участия в управлении собственностью организации (дивиденды, проценты, выплаты по долевым паям и </w:t>
      </w:r>
      <w:proofErr w:type="gramStart"/>
      <w:r>
        <w:t>другое</w:t>
      </w:r>
      <w:proofErr w:type="gramEnd"/>
      <w:r>
        <w:t>);</w:t>
      </w:r>
    </w:p>
    <w:p w:rsidR="0024004C" w:rsidRDefault="0024004C">
      <w:pPr>
        <w:pStyle w:val="newncpi"/>
      </w:pPr>
      <w:r>
        <w:t>доходы в виде процентов, полученных гражданами по банковским вкладам (депозитам), денежным средствам, находящимся на текущем (расчетном) банковском счете в банках как на территории Республики Беларусь, так и за ее пределами;</w:t>
      </w:r>
    </w:p>
    <w:p w:rsidR="0024004C" w:rsidRDefault="0024004C">
      <w:pPr>
        <w:pStyle w:val="newncpi"/>
      </w:pPr>
      <w:r>
        <w:t>доходы от возмездного отчуждения, сдачи внаем, аренду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w:t>
      </w:r>
    </w:p>
    <w:p w:rsidR="0024004C" w:rsidRDefault="0024004C">
      <w:pPr>
        <w:pStyle w:val="newncpi"/>
      </w:pPr>
      <w:r>
        <w:t>выплаты, пособия и другие виды помощи за счет средств местных бюджетов (кроме выплат, пособий и других видов помощи, предоставляемых гражданам на строительство (реконструкцию) или приобретение жилого помещения, а также безналичных жилищных субсидий, предоставляемых на оплату жилищно-коммунальных услуг);</w:t>
      </w:r>
    </w:p>
    <w:p w:rsidR="0024004C" w:rsidRDefault="0024004C">
      <w:pPr>
        <w:pStyle w:val="newncpi"/>
      </w:pPr>
      <w:r>
        <w:t>суммы денежных средств, получаемые в результате наследования, дарения, пожертвования;</w:t>
      </w:r>
    </w:p>
    <w:p w:rsidR="0024004C" w:rsidRDefault="0024004C">
      <w:pPr>
        <w:pStyle w:val="newncpi"/>
      </w:pPr>
      <w:r>
        <w:t>материальную помощь безработным и членам их семей, находящимся на их иждивении,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по направлению органа по труду, занятости и социальной защите;</w:t>
      </w:r>
    </w:p>
    <w:p w:rsidR="0024004C" w:rsidRDefault="0024004C">
      <w:pPr>
        <w:pStyle w:val="newncpi"/>
      </w:pPr>
      <w:r>
        <w:t>выигрыши, полученные от организаторов азартных игр;</w:t>
      </w:r>
    </w:p>
    <w:p w:rsidR="0024004C" w:rsidRDefault="0024004C">
      <w:pPr>
        <w:pStyle w:val="newncpi"/>
      </w:pPr>
      <w:r>
        <w:t>переводы из-за границы.</w:t>
      </w:r>
    </w:p>
    <w:p w:rsidR="0024004C" w:rsidRDefault="0024004C">
      <w:pPr>
        <w:pStyle w:val="point"/>
      </w:pPr>
      <w:r>
        <w:t>5. Не учитываются в совокупном доходе гражданина (семьи) следующие виды доходов:</w:t>
      </w:r>
    </w:p>
    <w:p w:rsidR="0024004C" w:rsidRDefault="0024004C">
      <w:pPr>
        <w:pStyle w:val="newncpi"/>
      </w:pPr>
      <w:r>
        <w:t>займы и кредиты банков и организаций;</w:t>
      </w:r>
    </w:p>
    <w:p w:rsidR="0024004C" w:rsidRDefault="0024004C">
      <w:pPr>
        <w:pStyle w:val="newncpi"/>
      </w:pPr>
      <w:r>
        <w:t>материальная помощь по месту основной работы от юридических лиц или индивидуальных предпринимателей работникам, состоящим на учете нуждающихся в улучшении жилищных условий, перечисленная юридическими лицами или индивидуальными предпринимателями на оплату стоимости строительства (реконструкции) или приобретения жилого помещения;</w:t>
      </w:r>
    </w:p>
    <w:p w:rsidR="0024004C" w:rsidRDefault="0024004C">
      <w:pPr>
        <w:pStyle w:val="newncpi"/>
      </w:pPr>
      <w:proofErr w:type="gramStart"/>
      <w:r>
        <w:t>суммы средств, направляемых на погашение льготных кредитов, предоставленных гражданам открытым акционерным обществом «Сберегательный банк «Беларусбанк» в соответствии с Указом Президента Республики Беларусь от 7 февраля 2006 г. №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w:t>
      </w:r>
      <w:proofErr w:type="gramEnd"/>
      <w:r>
        <w:t xml:space="preserve"> и построек» (Национальный реестр правовых актов Республики Беларусь, 2006 г., № 24, 1/7251);</w:t>
      </w:r>
    </w:p>
    <w:p w:rsidR="0024004C" w:rsidRDefault="0024004C">
      <w:pPr>
        <w:pStyle w:val="newncpi"/>
      </w:pPr>
      <w:r>
        <w:t>денежные средства от возмездного отчуждения гражданами находящихся в их собственности жилых помещений при условии направления указанных средств на строительство (реконструкцию) или приобретение жилого помещения;</w:t>
      </w:r>
    </w:p>
    <w:p w:rsidR="0024004C" w:rsidRDefault="0024004C">
      <w:pPr>
        <w:pStyle w:val="newncpi"/>
      </w:pPr>
      <w:r>
        <w:t>одноразовые субсидии,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w:t>
      </w:r>
    </w:p>
    <w:p w:rsidR="0024004C" w:rsidRDefault="0024004C">
      <w:pPr>
        <w:pStyle w:val="point"/>
      </w:pPr>
      <w:r>
        <w:t>6. При расчете совокупного дохода гражданина (семьи) заработная плата или денежное довольствие учитываются в том месяце, за который они начислены. Премии, суммы индексации заработной платы в связи с повышением цен на товары и услуги, единовременное пособие на оздоровление, иные выплаты учитываются в месяце, в котором они выплачены. Месяцем выплаты считается месяц, на который они приходятся согласно лицевому счету, расчетной ведомости.</w:t>
      </w:r>
    </w:p>
    <w:p w:rsidR="0024004C" w:rsidRDefault="0024004C">
      <w:pPr>
        <w:pStyle w:val="newncpi"/>
      </w:pPr>
      <w:r>
        <w:t>Прочие доходы учитываются в месяце их фактического получения. Месяцем их фактического получения считается месяц документального подтверждения того или иного вида дохода.</w:t>
      </w:r>
    </w:p>
    <w:p w:rsidR="0024004C" w:rsidRDefault="0024004C">
      <w:pPr>
        <w:pStyle w:val="newncpi"/>
      </w:pPr>
      <w:r>
        <w:lastRenderedPageBreak/>
        <w:t>Доходы гражданина (семьи), полученные в иностранной валюте, пересчитываются в белорусские рубли по официальному курсу, установленному Национальным банком на день их получения. Если день получения не известен, то на последний день месяца, на который они приходятся.</w:t>
      </w:r>
    </w:p>
    <w:p w:rsidR="0024004C" w:rsidRDefault="0024004C">
      <w:pPr>
        <w:pStyle w:val="newncpi"/>
      </w:pPr>
      <w:r>
        <w:t xml:space="preserve">Полученные гражданином (семьей) суммы алиментов учитываются на основании документов и (или) сведений, подтверждающих получение алиментов (справок организаций, почтовых, электронных переводов и </w:t>
      </w:r>
      <w:proofErr w:type="gramStart"/>
      <w:r>
        <w:t>другого</w:t>
      </w:r>
      <w:proofErr w:type="gramEnd"/>
      <w:r>
        <w:t>).</w:t>
      </w:r>
    </w:p>
    <w:p w:rsidR="0024004C" w:rsidRDefault="0024004C">
      <w:pPr>
        <w:pStyle w:val="point"/>
      </w:pPr>
      <w:r>
        <w:t>7. Совокупный доход гражданина (семьи) исчисляется за вычетом подоходного налога с физических лиц, обязательных страховых взносов в бюджет государственного внебюджетного фонда социальной защиты населения Республики Беларусь, а также сумм уплаченных алиментов.</w:t>
      </w:r>
    </w:p>
    <w:p w:rsidR="0024004C" w:rsidRDefault="0024004C">
      <w:pPr>
        <w:pStyle w:val="newncpi"/>
      </w:pPr>
      <w:r>
        <w:t>Сведения о совокупном доходе гражданина (семьи) должны быть подтверждены документально.</w:t>
      </w:r>
    </w:p>
    <w:p w:rsidR="0024004C" w:rsidRDefault="0024004C">
      <w:pPr>
        <w:pStyle w:val="newncpi"/>
      </w:pPr>
      <w:proofErr w:type="gramStart"/>
      <w:r>
        <w:t>Доходы от осуществления предпринимательской, ремесленной деятельности, доходы нотариусов, осуществляющих нотариальную деятельность в нотариальных бюро, адвокатов, осуществляющих адвокатскую деятельность индивидуально, а также доходы от осуществления видов деятельности, не относящихся к предпринимательской деятельности, при осуществлении которых уплачивается единый налог с индивидуальных предпринимателей и иных физических лиц, и деятельности по оказанию услуг в сфере агроэкотуризма включаются в совокупный доход гражданина (семьи) на основании</w:t>
      </w:r>
      <w:proofErr w:type="gramEnd"/>
      <w:r>
        <w:t xml:space="preserve"> сведений, предоставляемых самостоятельно лицами, осуществляющими такую деятельность, и заверенных их подписью.</w:t>
      </w:r>
    </w:p>
    <w:p w:rsidR="0024004C" w:rsidRDefault="0024004C">
      <w:pPr>
        <w:pStyle w:val="point"/>
      </w:pPr>
      <w:r>
        <w:t>8. В состав учитываемого имущества гражданина (семьи) включаются принадлежащие на праве собственности:</w:t>
      </w:r>
    </w:p>
    <w:p w:rsidR="0024004C" w:rsidRDefault="0024004C">
      <w:pPr>
        <w:pStyle w:val="newncpi"/>
      </w:pPr>
      <w:proofErr w:type="gramStart"/>
      <w:r>
        <w:t>расположенные на территории Республики Беларусь и зарегистрированные в установленном порядке капитальные строения (здания, сооружения), изолированные помещения*, машино-места, незавершенные законсервированные капитальные строения, за исключением незавершенных законсервированных капитальных строений, на строительство которых предоставляется льготный кредит, одноразовые субсидии,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(далее – здания</w:t>
      </w:r>
      <w:proofErr w:type="gramEnd"/>
      <w:r>
        <w:t xml:space="preserve"> или сооружения), предприятия как имущественные комплексы, а также доли в праве собственности на них. Незавершенные законсервированные капитальные строения не включаются в состав учитываемого имущества гражданина (семьи), если в техническом паспорте этого строения в соответствии с законодательством не указывается общая площадь ввиду невозможности ее определить;</w:t>
      </w:r>
    </w:p>
    <w:p w:rsidR="0024004C" w:rsidRDefault="0024004C">
      <w:pPr>
        <w:pStyle w:val="newncpi"/>
      </w:pPr>
      <w:proofErr w:type="gramStart"/>
      <w:r>
        <w:t>транспортные средства (кроме мопедов, велосипедов и гужевого транспорта), стоимость каждого из которых превышает 35-кратный размер среднедушевого минимального потребительского бюджета семьи из 4 человек, действующего на дату подачи документов, за исключением спецтранспорта, приобретенного в соответствии с заключением медико-реабилитационной экспертной комиссии через органы по труду, занятости и социальной защите бесплатно или на льготных условиях.</w:t>
      </w:r>
      <w:proofErr w:type="gramEnd"/>
    </w:p>
    <w:p w:rsidR="0024004C" w:rsidRDefault="0024004C">
      <w:pPr>
        <w:pStyle w:val="snoskiline"/>
      </w:pPr>
      <w:r>
        <w:t>______________________________</w:t>
      </w:r>
    </w:p>
    <w:p w:rsidR="0024004C" w:rsidRDefault="0024004C">
      <w:pPr>
        <w:pStyle w:val="snoski"/>
      </w:pPr>
      <w:r>
        <w:t>* Для целей пунктов 8 и 9 настоящего Положения:</w:t>
      </w:r>
    </w:p>
    <w:p w:rsidR="0024004C" w:rsidRDefault="0024004C">
      <w:pPr>
        <w:pStyle w:val="snoski"/>
      </w:pPr>
      <w:proofErr w:type="gramStart"/>
      <w:r>
        <w:t>под капитальными строениями (зданиями, сооружениями) понимаются одноквартирные, блокированные жилые дома, гаражи, садовые домики, дачи, хозяйственные постройки, иные нежилые здания и сооружения;</w:t>
      </w:r>
      <w:proofErr w:type="gramEnd"/>
    </w:p>
    <w:p w:rsidR="0024004C" w:rsidRDefault="0024004C">
      <w:pPr>
        <w:pStyle w:val="snoski"/>
        <w:spacing w:after="240"/>
      </w:pPr>
      <w:r>
        <w:t>под изолированным помещением понимается квартира в блокированном жилом доме, многоквартирном жилом доме, нежилое помещение.</w:t>
      </w:r>
    </w:p>
    <w:p w:rsidR="0024004C" w:rsidRDefault="0024004C">
      <w:pPr>
        <w:pStyle w:val="point"/>
      </w:pPr>
      <w:r>
        <w:t>9. Стоимость заявленного имущества определяется гражданами самостоятельно на 1 января года подачи документов, а при подаче документов до 10 февраля текущего года – на 1 января года, предшествующего году подачи документов.</w:t>
      </w:r>
    </w:p>
    <w:p w:rsidR="0024004C" w:rsidRDefault="0024004C">
      <w:pPr>
        <w:pStyle w:val="newncpi"/>
      </w:pPr>
      <w:r>
        <w:lastRenderedPageBreak/>
        <w:t>Сведения об имуществе семьи должны быть подтверждены документально.</w:t>
      </w:r>
    </w:p>
    <w:p w:rsidR="0024004C" w:rsidRDefault="0024004C">
      <w:pPr>
        <w:pStyle w:val="newncpi"/>
      </w:pPr>
      <w:r>
        <w:t>Стоимость заявленного имущества определяется:</w:t>
      </w:r>
    </w:p>
    <w:p w:rsidR="0024004C" w:rsidRDefault="0024004C">
      <w:pPr>
        <w:pStyle w:val="newncpi"/>
      </w:pPr>
      <w:r>
        <w:t>в отношении зданий или сооружений – исходя из стоимости 1 кв. метра здания или сооружения, определяемой в соответствии с частью четвертой настоящего пункта, и общей площади оцениваемого здания или сооружения, указанной в техническом паспорте на капитальное строение (здание, сооружение), изолированное помещение, машино-место, незавершенное законсервированное капитальное строение;</w:t>
      </w:r>
    </w:p>
    <w:p w:rsidR="0024004C" w:rsidRDefault="0024004C">
      <w:pPr>
        <w:pStyle w:val="newncpi"/>
      </w:pPr>
      <w:r>
        <w:t>в отношении предприятия как имущественного комплекса – по балансовой стоимости имущества предприятия.</w:t>
      </w:r>
    </w:p>
    <w:p w:rsidR="0024004C" w:rsidRDefault="0024004C">
      <w:pPr>
        <w:pStyle w:val="newncpi"/>
      </w:pPr>
      <w:r>
        <w:t>Стоимость 1 кв. метра здания или сооружения определяется:</w:t>
      </w:r>
    </w:p>
    <w:p w:rsidR="0024004C" w:rsidRDefault="0024004C">
      <w:pPr>
        <w:pStyle w:val="newncpi"/>
      </w:pPr>
      <w:r>
        <w:t>на 1 января 2017 г. – в размере базовой расчетной стоимости 1 кв. метра типового здания или сооружения согласно приложению;</w:t>
      </w:r>
    </w:p>
    <w:p w:rsidR="0024004C" w:rsidRDefault="0024004C">
      <w:pPr>
        <w:pStyle w:val="newncpi"/>
      </w:pPr>
      <w:proofErr w:type="gramStart"/>
      <w:r>
        <w:t>на 1 января 2018 г. и последующих лет – путем умножения базовой расчетной стоимости 1 кв. метра типового здания или сооружения, указанной в приложении к настоящему Положению, последовательно на все коэффициенты изменения стоимости капитальных строений (зданий и сооружений (их частей), в том числе жилых домов, садовых домиков, дач, жилых помещений (квартир, комнат), нежилых помещений, хозяйственных построек, гаражей, иных зданий и сооружений</w:t>
      </w:r>
      <w:proofErr w:type="gramEnd"/>
      <w:r>
        <w:t xml:space="preserve">, </w:t>
      </w:r>
      <w:proofErr w:type="gramStart"/>
      <w:r>
        <w:t>включая не завершенные строительством, машино-мест, принадлежащих физическим лицам, установленные Министерством архитектуры и строительства начиная с 1 января 2018 г.</w:t>
      </w:r>
      <w:proofErr w:type="gramEnd"/>
    </w:p>
    <w:p w:rsidR="0024004C" w:rsidRDefault="0024004C">
      <w:pPr>
        <w:pStyle w:val="newncpi"/>
      </w:pPr>
      <w:proofErr w:type="gramStart"/>
      <w:r>
        <w:t>Для целей определения стоимости заявленных зданий или сооружений физическое лицо вправе представить в орган (организацию), принимающий решение о предоставлении гражданину соответствующей государственной поддержки при строительстве (реконструкции) или приобретении жилых помещений (в орган (организацию), утверждающий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w:t>
      </w:r>
      <w:proofErr w:type="gramEnd"/>
      <w:r>
        <w:t xml:space="preserve"> </w:t>
      </w:r>
      <w:proofErr w:type="gramStart"/>
      <w:r>
        <w:t>кредиту), выданным банком на строительство (реконструкцию) жилых помещений, в случае утверждения данных списков в соответствии с частью второй подпункта 1.14 пункта 1 Указа Президента Республики Беларусь от 4 июля 2017 г. № 240), заключение об оценке рыночной стоимости в текущем использовании зданий или сооружений, определенной для цели кредитования физических лиц, в том числе для получения льготного кредита, выданное юридическим лицом или</w:t>
      </w:r>
      <w:proofErr w:type="gramEnd"/>
      <w:r>
        <w:t xml:space="preserve"> индивидуальным предпринимателем, </w:t>
      </w:r>
      <w:proofErr w:type="gramStart"/>
      <w:r>
        <w:t>осуществляющими</w:t>
      </w:r>
      <w:proofErr w:type="gramEnd"/>
      <w:r>
        <w:t xml:space="preserve"> оценочную деятельность.</w:t>
      </w:r>
    </w:p>
    <w:p w:rsidR="0024004C" w:rsidRDefault="0024004C">
      <w:pPr>
        <w:pStyle w:val="newncpi"/>
      </w:pPr>
      <w:r>
        <w:t>Дата оценки рыночной стоимости объекта оценки устанавливается не ранее даты осмотра, производимого после заключения договора на оказание услуг по проведению независимой оценки рыночной стоимости объекта оценки.</w:t>
      </w:r>
    </w:p>
    <w:p w:rsidR="0024004C" w:rsidRDefault="0024004C">
      <w:pPr>
        <w:pStyle w:val="point"/>
      </w:pPr>
      <w:r>
        <w:t>10. Сведения о доходах гражданина (семьи) представляются заявителем за 12 месяцев, предшествующих месяцу подачи документов.</w:t>
      </w:r>
    </w:p>
    <w:p w:rsidR="0024004C" w:rsidRDefault="0024004C">
      <w:pPr>
        <w:pStyle w:val="point"/>
      </w:pPr>
      <w:r>
        <w:t>11. Сведения о совокупном доходе и имуществе гражданина (семьи) не подлежат разглашению.</w:t>
      </w:r>
    </w:p>
    <w:p w:rsidR="0024004C" w:rsidRDefault="0024004C">
      <w:pPr>
        <w:pStyle w:val="newncpi"/>
      </w:pPr>
      <w:r>
        <w:t> </w:t>
      </w:r>
    </w:p>
    <w:tbl>
      <w:tblPr>
        <w:tblW w:w="5000" w:type="pct"/>
        <w:tblCellMar>
          <w:left w:w="0" w:type="dxa"/>
          <w:right w:w="0" w:type="dxa"/>
        </w:tblCellMar>
        <w:tblLook w:val="04A0"/>
      </w:tblPr>
      <w:tblGrid>
        <w:gridCol w:w="5846"/>
        <w:gridCol w:w="3523"/>
      </w:tblGrid>
      <w:tr w:rsidR="0024004C" w:rsidRPr="0024004C">
        <w:trPr>
          <w:trHeight w:val="238"/>
        </w:trPr>
        <w:tc>
          <w:tcPr>
            <w:tcW w:w="3120" w:type="pct"/>
            <w:tcMar>
              <w:top w:w="0" w:type="dxa"/>
              <w:left w:w="6" w:type="dxa"/>
              <w:bottom w:w="0" w:type="dxa"/>
              <w:right w:w="6" w:type="dxa"/>
            </w:tcMar>
            <w:hideMark/>
          </w:tcPr>
          <w:p w:rsidR="0024004C" w:rsidRDefault="0024004C">
            <w:pPr>
              <w:pStyle w:val="newncpi"/>
            </w:pPr>
            <w:r>
              <w:t> </w:t>
            </w:r>
          </w:p>
        </w:tc>
        <w:tc>
          <w:tcPr>
            <w:tcW w:w="1880" w:type="pct"/>
            <w:tcMar>
              <w:top w:w="0" w:type="dxa"/>
              <w:left w:w="6" w:type="dxa"/>
              <w:bottom w:w="0" w:type="dxa"/>
              <w:right w:w="6" w:type="dxa"/>
            </w:tcMar>
            <w:hideMark/>
          </w:tcPr>
          <w:p w:rsidR="0024004C" w:rsidRDefault="0024004C">
            <w:pPr>
              <w:pStyle w:val="append1"/>
            </w:pPr>
            <w:r>
              <w:t>Приложение</w:t>
            </w:r>
          </w:p>
          <w:p w:rsidR="0024004C" w:rsidRDefault="0024004C">
            <w:pPr>
              <w:pStyle w:val="append"/>
            </w:pPr>
            <w:proofErr w:type="gramStart"/>
            <w:r>
              <w:t xml:space="preserve">к Положению об отнесении граждан </w:t>
            </w:r>
            <w:r>
              <w:br/>
              <w:t xml:space="preserve">к категории малообеспеченных </w:t>
            </w:r>
            <w:r>
              <w:br/>
              <w:t xml:space="preserve">для получения государственной </w:t>
            </w:r>
            <w:r>
              <w:br/>
              <w:t>поддержки при строительстве</w:t>
            </w:r>
            <w:proofErr w:type="gramEnd"/>
            <w:r>
              <w:t xml:space="preserve"> </w:t>
            </w:r>
            <w:r>
              <w:br/>
              <w:t xml:space="preserve">(реконструкции) или приобретении </w:t>
            </w:r>
            <w:r>
              <w:br/>
              <w:t>жилого помещения</w:t>
            </w:r>
            <w:r>
              <w:br/>
              <w:t xml:space="preserve">(в редакции постановления </w:t>
            </w:r>
            <w:r>
              <w:br/>
              <w:t xml:space="preserve">Совета Министров </w:t>
            </w:r>
            <w:r>
              <w:br/>
              <w:t xml:space="preserve">Республики Беларусь </w:t>
            </w:r>
            <w:r>
              <w:br/>
              <w:t xml:space="preserve">04.11.2017 № 835) </w:t>
            </w:r>
          </w:p>
        </w:tc>
      </w:tr>
    </w:tbl>
    <w:p w:rsidR="0024004C" w:rsidRDefault="0024004C">
      <w:pPr>
        <w:pStyle w:val="titlep"/>
        <w:jc w:val="left"/>
      </w:pPr>
      <w:r>
        <w:lastRenderedPageBreak/>
        <w:t>Размеры базовой расчетной стоимости 1 кв. метра типового здания или сооружения</w:t>
      </w:r>
    </w:p>
    <w:p w:rsidR="0024004C" w:rsidRDefault="0024004C">
      <w:pPr>
        <w:pStyle w:val="edizmeren"/>
      </w:pPr>
      <w:r>
        <w:t>(рублей)</w:t>
      </w:r>
    </w:p>
    <w:tbl>
      <w:tblPr>
        <w:tblW w:w="5000" w:type="pct"/>
        <w:tblCellMar>
          <w:left w:w="0" w:type="dxa"/>
          <w:right w:w="0" w:type="dxa"/>
        </w:tblCellMar>
        <w:tblLook w:val="04A0"/>
      </w:tblPr>
      <w:tblGrid>
        <w:gridCol w:w="2507"/>
        <w:gridCol w:w="1497"/>
        <w:gridCol w:w="1053"/>
        <w:gridCol w:w="763"/>
        <w:gridCol w:w="729"/>
        <w:gridCol w:w="1289"/>
        <w:gridCol w:w="1531"/>
      </w:tblGrid>
      <w:tr w:rsidR="0024004C" w:rsidRPr="0024004C">
        <w:trPr>
          <w:trHeight w:val="238"/>
        </w:trPr>
        <w:tc>
          <w:tcPr>
            <w:tcW w:w="1338"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Наименование населенных пунктов и иных территорий</w:t>
            </w:r>
          </w:p>
        </w:tc>
        <w:tc>
          <w:tcPr>
            <w:tcW w:w="366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4004C" w:rsidRDefault="0024004C">
            <w:pPr>
              <w:pStyle w:val="table10"/>
              <w:jc w:val="center"/>
            </w:pPr>
            <w:r>
              <w:t>Размеры базовой расчетной стоимости 1 кв. метра по видам зданий или сооружений</w:t>
            </w:r>
          </w:p>
        </w:tc>
      </w:tr>
      <w:tr w:rsidR="0024004C" w:rsidRPr="0024004C">
        <w:trPr>
          <w:trHeight w:val="238"/>
        </w:trPr>
        <w:tc>
          <w:tcPr>
            <w:tcW w:w="0" w:type="auto"/>
            <w:vMerge/>
            <w:tcBorders>
              <w:top w:val="single" w:sz="4" w:space="0" w:color="auto"/>
              <w:bottom w:val="single" w:sz="4" w:space="0" w:color="auto"/>
              <w:right w:val="single" w:sz="4" w:space="0" w:color="auto"/>
            </w:tcBorders>
            <w:vAlign w:val="center"/>
            <w:hideMark/>
          </w:tcPr>
          <w:p w:rsidR="0024004C" w:rsidRPr="0024004C" w:rsidRDefault="0024004C">
            <w:pPr>
              <w:rPr>
                <w:rFonts w:eastAsiaTheme="minorEastAsia"/>
                <w:sz w:val="20"/>
                <w:szCs w:val="20"/>
                <w:lang w:val="ru-RU"/>
              </w:rPr>
            </w:pPr>
          </w:p>
        </w:tc>
        <w:tc>
          <w:tcPr>
            <w:tcW w:w="7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одноквартирный, блокированный жилой дом, квартира в блокированном жилом доме</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квартира в мног</w:t>
            </w:r>
            <w:proofErr w:type="gramStart"/>
            <w:r>
              <w:t>о-</w:t>
            </w:r>
            <w:proofErr w:type="gramEnd"/>
            <w:r>
              <w:br/>
              <w:t>квартирном жилом доме</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гараж, машино-место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садовый домик, дача</w:t>
            </w:r>
          </w:p>
        </w:tc>
        <w:tc>
          <w:tcPr>
            <w:tcW w:w="6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4004C" w:rsidRDefault="0024004C">
            <w:pPr>
              <w:pStyle w:val="table10"/>
              <w:jc w:val="center"/>
            </w:pPr>
            <w:r>
              <w:t>хозяйственные постройки</w:t>
            </w:r>
          </w:p>
        </w:tc>
        <w:tc>
          <w:tcPr>
            <w:tcW w:w="8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4004C" w:rsidRDefault="0024004C">
            <w:pPr>
              <w:pStyle w:val="table10"/>
              <w:jc w:val="center"/>
            </w:pPr>
            <w:r>
              <w:t>нежилые здания, сооружения, помещения (за исключением гаража, машино-места, садового домика, дачи, хозяйственных построек)</w:t>
            </w:r>
          </w:p>
        </w:tc>
      </w:tr>
      <w:tr w:rsidR="0024004C">
        <w:trPr>
          <w:trHeight w:val="238"/>
        </w:trPr>
        <w:tc>
          <w:tcPr>
            <w:tcW w:w="1338" w:type="pct"/>
            <w:tcBorders>
              <w:top w:val="single" w:sz="4" w:space="0" w:color="auto"/>
            </w:tcBorders>
            <w:tcMar>
              <w:top w:w="0" w:type="dxa"/>
              <w:left w:w="6" w:type="dxa"/>
              <w:bottom w:w="0" w:type="dxa"/>
              <w:right w:w="6" w:type="dxa"/>
            </w:tcMar>
            <w:hideMark/>
          </w:tcPr>
          <w:p w:rsidR="0024004C" w:rsidRDefault="0024004C">
            <w:pPr>
              <w:pStyle w:val="table10"/>
              <w:spacing w:before="120"/>
            </w:pPr>
            <w:r>
              <w:t>Город Минск</w:t>
            </w:r>
          </w:p>
        </w:tc>
        <w:tc>
          <w:tcPr>
            <w:tcW w:w="799"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339,6</w:t>
            </w:r>
          </w:p>
        </w:tc>
        <w:tc>
          <w:tcPr>
            <w:tcW w:w="562"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457,7</w:t>
            </w:r>
          </w:p>
        </w:tc>
        <w:tc>
          <w:tcPr>
            <w:tcW w:w="407"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132,8</w:t>
            </w:r>
          </w:p>
        </w:tc>
        <w:tc>
          <w:tcPr>
            <w:tcW w:w="389"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209,8</w:t>
            </w:r>
          </w:p>
        </w:tc>
        <w:tc>
          <w:tcPr>
            <w:tcW w:w="688"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260,1</w:t>
            </w:r>
          </w:p>
        </w:tc>
        <w:tc>
          <w:tcPr>
            <w:tcW w:w="817" w:type="pct"/>
            <w:tcBorders>
              <w:top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919,2</w:t>
            </w:r>
          </w:p>
        </w:tc>
      </w:tr>
      <w:tr w:rsidR="0024004C">
        <w:trPr>
          <w:trHeight w:val="238"/>
        </w:trPr>
        <w:tc>
          <w:tcPr>
            <w:tcW w:w="1338" w:type="pct"/>
            <w:tcMar>
              <w:top w:w="0" w:type="dxa"/>
              <w:left w:w="6" w:type="dxa"/>
              <w:bottom w:w="0" w:type="dxa"/>
              <w:right w:w="6" w:type="dxa"/>
            </w:tcMar>
            <w:hideMark/>
          </w:tcPr>
          <w:p w:rsidR="0024004C" w:rsidRDefault="0024004C">
            <w:pPr>
              <w:pStyle w:val="table10"/>
              <w:spacing w:before="120"/>
            </w:pPr>
            <w:r>
              <w:t>Города Брест, Витебск, Гомель, Гродно, Могилев</w:t>
            </w:r>
          </w:p>
        </w:tc>
        <w:tc>
          <w:tcPr>
            <w:tcW w:w="799" w:type="pct"/>
            <w:tcMar>
              <w:top w:w="0" w:type="dxa"/>
              <w:left w:w="6" w:type="dxa"/>
              <w:bottom w:w="0" w:type="dxa"/>
              <w:right w:w="6" w:type="dxa"/>
            </w:tcMar>
            <w:vAlign w:val="bottom"/>
            <w:hideMark/>
          </w:tcPr>
          <w:p w:rsidR="0024004C" w:rsidRDefault="0024004C">
            <w:pPr>
              <w:pStyle w:val="table10"/>
              <w:spacing w:before="120"/>
              <w:jc w:val="center"/>
            </w:pPr>
            <w:r>
              <w:t>254,2</w:t>
            </w:r>
          </w:p>
        </w:tc>
        <w:tc>
          <w:tcPr>
            <w:tcW w:w="562" w:type="pct"/>
            <w:tcMar>
              <w:top w:w="0" w:type="dxa"/>
              <w:left w:w="6" w:type="dxa"/>
              <w:bottom w:w="0" w:type="dxa"/>
              <w:right w:w="6" w:type="dxa"/>
            </w:tcMar>
            <w:vAlign w:val="bottom"/>
            <w:hideMark/>
          </w:tcPr>
          <w:p w:rsidR="0024004C" w:rsidRDefault="0024004C">
            <w:pPr>
              <w:pStyle w:val="table10"/>
              <w:spacing w:before="120"/>
              <w:jc w:val="center"/>
            </w:pPr>
            <w:r>
              <w:t>373,0</w:t>
            </w:r>
          </w:p>
        </w:tc>
        <w:tc>
          <w:tcPr>
            <w:tcW w:w="407" w:type="pct"/>
            <w:tcMar>
              <w:top w:w="0" w:type="dxa"/>
              <w:left w:w="6" w:type="dxa"/>
              <w:bottom w:w="0" w:type="dxa"/>
              <w:right w:w="6" w:type="dxa"/>
            </w:tcMar>
            <w:vAlign w:val="bottom"/>
            <w:hideMark/>
          </w:tcPr>
          <w:p w:rsidR="0024004C" w:rsidRDefault="0024004C">
            <w:pPr>
              <w:pStyle w:val="table10"/>
              <w:spacing w:before="120"/>
              <w:jc w:val="center"/>
            </w:pPr>
            <w:r>
              <w:t>129,8</w:t>
            </w:r>
          </w:p>
        </w:tc>
        <w:tc>
          <w:tcPr>
            <w:tcW w:w="389" w:type="pct"/>
            <w:tcMar>
              <w:top w:w="0" w:type="dxa"/>
              <w:left w:w="6" w:type="dxa"/>
              <w:bottom w:w="0" w:type="dxa"/>
              <w:right w:w="6" w:type="dxa"/>
            </w:tcMar>
            <w:vAlign w:val="bottom"/>
            <w:hideMark/>
          </w:tcPr>
          <w:p w:rsidR="0024004C" w:rsidRDefault="0024004C">
            <w:pPr>
              <w:pStyle w:val="table10"/>
              <w:spacing w:before="120"/>
              <w:jc w:val="center"/>
            </w:pPr>
            <w:r>
              <w:t>193,1</w:t>
            </w:r>
          </w:p>
        </w:tc>
        <w:tc>
          <w:tcPr>
            <w:tcW w:w="688" w:type="pct"/>
            <w:tcMar>
              <w:top w:w="0" w:type="dxa"/>
              <w:left w:w="6" w:type="dxa"/>
              <w:bottom w:w="0" w:type="dxa"/>
              <w:right w:w="6" w:type="dxa"/>
            </w:tcMar>
            <w:vAlign w:val="bottom"/>
            <w:hideMark/>
          </w:tcPr>
          <w:p w:rsidR="0024004C" w:rsidRDefault="0024004C">
            <w:pPr>
              <w:pStyle w:val="table10"/>
              <w:spacing w:before="120"/>
              <w:jc w:val="center"/>
            </w:pPr>
            <w:r>
              <w:t>184,9</w:t>
            </w:r>
          </w:p>
        </w:tc>
        <w:tc>
          <w:tcPr>
            <w:tcW w:w="817" w:type="pct"/>
            <w:tcMar>
              <w:top w:w="0" w:type="dxa"/>
              <w:left w:w="6" w:type="dxa"/>
              <w:bottom w:w="0" w:type="dxa"/>
              <w:right w:w="6" w:type="dxa"/>
            </w:tcMar>
            <w:vAlign w:val="bottom"/>
            <w:hideMark/>
          </w:tcPr>
          <w:p w:rsidR="0024004C" w:rsidRDefault="0024004C">
            <w:pPr>
              <w:pStyle w:val="table10"/>
              <w:spacing w:before="120"/>
              <w:jc w:val="center"/>
            </w:pPr>
            <w:r>
              <w:t>695,0</w:t>
            </w:r>
          </w:p>
        </w:tc>
      </w:tr>
      <w:tr w:rsidR="0024004C">
        <w:trPr>
          <w:trHeight w:val="238"/>
        </w:trPr>
        <w:tc>
          <w:tcPr>
            <w:tcW w:w="1338" w:type="pct"/>
            <w:tcMar>
              <w:top w:w="0" w:type="dxa"/>
              <w:left w:w="6" w:type="dxa"/>
              <w:bottom w:w="0" w:type="dxa"/>
              <w:right w:w="6" w:type="dxa"/>
            </w:tcMar>
            <w:hideMark/>
          </w:tcPr>
          <w:p w:rsidR="0024004C" w:rsidRDefault="0024004C">
            <w:pPr>
              <w:pStyle w:val="table10"/>
              <w:spacing w:before="120"/>
            </w:pPr>
            <w:proofErr w:type="gramStart"/>
            <w:r>
              <w:t>Города Барановичи, Бобруйск, Борисов, Волковыск, Горки, Жлобин, Жодино, Кобрин, Кричев, Лида, Мозырь, Молодечно, Новогрудок, Новополоцк, Орша, Осиповичи, Пинск, Полоцк, Речица, Светлогорск, Слоним, Слуцк, Сморгонь, Солигорск, а также Минский район</w:t>
            </w:r>
            <w:proofErr w:type="gramEnd"/>
          </w:p>
        </w:tc>
        <w:tc>
          <w:tcPr>
            <w:tcW w:w="799" w:type="pct"/>
            <w:tcMar>
              <w:top w:w="0" w:type="dxa"/>
              <w:left w:w="6" w:type="dxa"/>
              <w:bottom w:w="0" w:type="dxa"/>
              <w:right w:w="6" w:type="dxa"/>
            </w:tcMar>
            <w:vAlign w:val="bottom"/>
            <w:hideMark/>
          </w:tcPr>
          <w:p w:rsidR="0024004C" w:rsidRDefault="0024004C">
            <w:pPr>
              <w:pStyle w:val="table10"/>
              <w:spacing w:before="120"/>
              <w:jc w:val="center"/>
            </w:pPr>
            <w:r>
              <w:t>211,7</w:t>
            </w:r>
          </w:p>
        </w:tc>
        <w:tc>
          <w:tcPr>
            <w:tcW w:w="562" w:type="pct"/>
            <w:tcMar>
              <w:top w:w="0" w:type="dxa"/>
              <w:left w:w="6" w:type="dxa"/>
              <w:bottom w:w="0" w:type="dxa"/>
              <w:right w:w="6" w:type="dxa"/>
            </w:tcMar>
            <w:vAlign w:val="bottom"/>
            <w:hideMark/>
          </w:tcPr>
          <w:p w:rsidR="0024004C" w:rsidRDefault="0024004C">
            <w:pPr>
              <w:pStyle w:val="table10"/>
              <w:spacing w:before="120"/>
              <w:jc w:val="center"/>
            </w:pPr>
            <w:r>
              <w:t>341,6</w:t>
            </w:r>
          </w:p>
        </w:tc>
        <w:tc>
          <w:tcPr>
            <w:tcW w:w="407" w:type="pct"/>
            <w:tcMar>
              <w:top w:w="0" w:type="dxa"/>
              <w:left w:w="6" w:type="dxa"/>
              <w:bottom w:w="0" w:type="dxa"/>
              <w:right w:w="6" w:type="dxa"/>
            </w:tcMar>
            <w:vAlign w:val="bottom"/>
            <w:hideMark/>
          </w:tcPr>
          <w:p w:rsidR="0024004C" w:rsidRDefault="0024004C">
            <w:pPr>
              <w:pStyle w:val="table10"/>
              <w:spacing w:before="120"/>
              <w:jc w:val="center"/>
            </w:pPr>
            <w:r>
              <w:t>92,1</w:t>
            </w:r>
          </w:p>
        </w:tc>
        <w:tc>
          <w:tcPr>
            <w:tcW w:w="389" w:type="pct"/>
            <w:tcMar>
              <w:top w:w="0" w:type="dxa"/>
              <w:left w:w="6" w:type="dxa"/>
              <w:bottom w:w="0" w:type="dxa"/>
              <w:right w:w="6" w:type="dxa"/>
            </w:tcMar>
            <w:vAlign w:val="bottom"/>
            <w:hideMark/>
          </w:tcPr>
          <w:p w:rsidR="0024004C" w:rsidRDefault="0024004C">
            <w:pPr>
              <w:pStyle w:val="table10"/>
              <w:spacing w:before="120"/>
              <w:jc w:val="center"/>
            </w:pPr>
            <w:r>
              <w:t>185,5</w:t>
            </w:r>
          </w:p>
        </w:tc>
        <w:tc>
          <w:tcPr>
            <w:tcW w:w="688" w:type="pct"/>
            <w:tcMar>
              <w:top w:w="0" w:type="dxa"/>
              <w:left w:w="6" w:type="dxa"/>
              <w:bottom w:w="0" w:type="dxa"/>
              <w:right w:w="6" w:type="dxa"/>
            </w:tcMar>
            <w:vAlign w:val="bottom"/>
            <w:hideMark/>
          </w:tcPr>
          <w:p w:rsidR="0024004C" w:rsidRDefault="0024004C">
            <w:pPr>
              <w:pStyle w:val="table10"/>
              <w:spacing w:before="120"/>
              <w:jc w:val="center"/>
            </w:pPr>
            <w:r>
              <w:t>110,4</w:t>
            </w:r>
          </w:p>
        </w:tc>
        <w:tc>
          <w:tcPr>
            <w:tcW w:w="817" w:type="pct"/>
            <w:tcMar>
              <w:top w:w="0" w:type="dxa"/>
              <w:left w:w="6" w:type="dxa"/>
              <w:bottom w:w="0" w:type="dxa"/>
              <w:right w:w="6" w:type="dxa"/>
            </w:tcMar>
            <w:vAlign w:val="bottom"/>
            <w:hideMark/>
          </w:tcPr>
          <w:p w:rsidR="0024004C" w:rsidRDefault="0024004C">
            <w:pPr>
              <w:pStyle w:val="table10"/>
              <w:spacing w:before="120"/>
              <w:jc w:val="center"/>
            </w:pPr>
            <w:r>
              <w:t>399,9</w:t>
            </w:r>
          </w:p>
        </w:tc>
      </w:tr>
      <w:tr w:rsidR="0024004C">
        <w:trPr>
          <w:trHeight w:val="238"/>
        </w:trPr>
        <w:tc>
          <w:tcPr>
            <w:tcW w:w="1338" w:type="pct"/>
            <w:tcBorders>
              <w:bottom w:val="single" w:sz="4" w:space="0" w:color="auto"/>
            </w:tcBorders>
            <w:tcMar>
              <w:top w:w="0" w:type="dxa"/>
              <w:left w:w="6" w:type="dxa"/>
              <w:bottom w:w="0" w:type="dxa"/>
              <w:right w:w="6" w:type="dxa"/>
            </w:tcMar>
            <w:hideMark/>
          </w:tcPr>
          <w:p w:rsidR="0024004C" w:rsidRDefault="0024004C">
            <w:pPr>
              <w:pStyle w:val="table10"/>
              <w:spacing w:before="120"/>
            </w:pPr>
            <w:r>
              <w:t>Иные населенные пункты и территории</w:t>
            </w:r>
          </w:p>
        </w:tc>
        <w:tc>
          <w:tcPr>
            <w:tcW w:w="799"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152,6</w:t>
            </w:r>
          </w:p>
        </w:tc>
        <w:tc>
          <w:tcPr>
            <w:tcW w:w="562"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247,0</w:t>
            </w:r>
          </w:p>
        </w:tc>
        <w:tc>
          <w:tcPr>
            <w:tcW w:w="407"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89,3</w:t>
            </w:r>
          </w:p>
        </w:tc>
        <w:tc>
          <w:tcPr>
            <w:tcW w:w="389"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133,5</w:t>
            </w:r>
          </w:p>
        </w:tc>
        <w:tc>
          <w:tcPr>
            <w:tcW w:w="688"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87,8</w:t>
            </w:r>
          </w:p>
        </w:tc>
        <w:tc>
          <w:tcPr>
            <w:tcW w:w="817" w:type="pct"/>
            <w:tcBorders>
              <w:bottom w:val="single" w:sz="4" w:space="0" w:color="auto"/>
            </w:tcBorders>
            <w:tcMar>
              <w:top w:w="0" w:type="dxa"/>
              <w:left w:w="6" w:type="dxa"/>
              <w:bottom w:w="0" w:type="dxa"/>
              <w:right w:w="6" w:type="dxa"/>
            </w:tcMar>
            <w:vAlign w:val="bottom"/>
            <w:hideMark/>
          </w:tcPr>
          <w:p w:rsidR="0024004C" w:rsidRDefault="0024004C">
            <w:pPr>
              <w:pStyle w:val="table10"/>
              <w:spacing w:before="120"/>
              <w:jc w:val="center"/>
            </w:pPr>
            <w:r>
              <w:t>291,2</w:t>
            </w:r>
          </w:p>
        </w:tc>
      </w:tr>
    </w:tbl>
    <w:p w:rsidR="0024004C" w:rsidRDefault="0024004C">
      <w:pPr>
        <w:pStyle w:val="newncpi"/>
      </w:pPr>
      <w:r>
        <w:t> </w:t>
      </w:r>
    </w:p>
    <w:p w:rsidR="0024004C" w:rsidRDefault="0024004C">
      <w:pPr>
        <w:pStyle w:val="point"/>
      </w:pPr>
      <w:r>
        <w:t> </w:t>
      </w:r>
    </w:p>
    <w:p w:rsidR="00BF2A3C" w:rsidRDefault="00792A24"/>
    <w:sectPr w:rsidR="00BF2A3C" w:rsidSect="0024004C">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24" w:rsidRDefault="00792A24" w:rsidP="0024004C">
      <w:r>
        <w:separator/>
      </w:r>
    </w:p>
  </w:endnote>
  <w:endnote w:type="continuationSeparator" w:id="0">
    <w:p w:rsidR="00792A24" w:rsidRDefault="00792A24" w:rsidP="002400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4C" w:rsidRDefault="0024004C">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4C" w:rsidRDefault="0024004C">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9"/>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24004C" w:rsidRPr="0024004C" w:rsidTr="0024004C">
      <w:tc>
        <w:tcPr>
          <w:tcW w:w="1800" w:type="dxa"/>
          <w:shd w:val="clear" w:color="auto" w:fill="auto"/>
          <w:vAlign w:val="center"/>
        </w:tcPr>
        <w:p w:rsidR="0024004C" w:rsidRDefault="0024004C">
          <w:pPr>
            <w:pStyle w:val="af6"/>
            <w:ind w:firstLine="0"/>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24004C" w:rsidRPr="0024004C" w:rsidRDefault="0024004C">
          <w:pPr>
            <w:pStyle w:val="af6"/>
            <w:ind w:firstLine="0"/>
            <w:rPr>
              <w:rFonts w:cs="Times New Roman"/>
              <w:i/>
              <w:sz w:val="24"/>
              <w:lang w:val="ru-RU"/>
            </w:rPr>
          </w:pPr>
          <w:r w:rsidRPr="0024004C">
            <w:rPr>
              <w:rFonts w:cs="Times New Roman"/>
              <w:i/>
              <w:sz w:val="24"/>
              <w:lang w:val="ru-RU"/>
            </w:rPr>
            <w:t>Официальная правовая информация</w:t>
          </w:r>
        </w:p>
        <w:p w:rsidR="0024004C" w:rsidRPr="0024004C" w:rsidRDefault="0024004C">
          <w:pPr>
            <w:pStyle w:val="af6"/>
            <w:ind w:firstLine="0"/>
            <w:rPr>
              <w:rFonts w:cs="Times New Roman"/>
              <w:i/>
              <w:sz w:val="24"/>
              <w:lang w:val="ru-RU"/>
            </w:rPr>
          </w:pPr>
          <w:r w:rsidRPr="0024004C">
            <w:rPr>
              <w:rFonts w:cs="Times New Roman"/>
              <w:i/>
              <w:sz w:val="24"/>
              <w:lang w:val="ru-RU"/>
            </w:rPr>
            <w:t>Информационно-поисковая система "ЭТАЛОН", 23.06.2020</w:t>
          </w:r>
        </w:p>
        <w:p w:rsidR="0024004C" w:rsidRPr="0024004C" w:rsidRDefault="0024004C">
          <w:pPr>
            <w:pStyle w:val="af6"/>
            <w:ind w:firstLine="0"/>
            <w:rPr>
              <w:rFonts w:cs="Times New Roman"/>
              <w:i/>
              <w:sz w:val="24"/>
              <w:lang w:val="ru-RU"/>
            </w:rPr>
          </w:pPr>
          <w:r w:rsidRPr="0024004C">
            <w:rPr>
              <w:rFonts w:cs="Times New Roman"/>
              <w:i/>
              <w:sz w:val="24"/>
              <w:lang w:val="ru-RU"/>
            </w:rPr>
            <w:t>Национальный центр правовой информации Республики Беларусь</w:t>
          </w:r>
        </w:p>
      </w:tc>
    </w:tr>
  </w:tbl>
  <w:p w:rsidR="0024004C" w:rsidRPr="0024004C" w:rsidRDefault="0024004C">
    <w:pPr>
      <w:pStyle w:val="af6"/>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24" w:rsidRDefault="00792A24" w:rsidP="0024004C">
      <w:r>
        <w:separator/>
      </w:r>
    </w:p>
  </w:footnote>
  <w:footnote w:type="continuationSeparator" w:id="0">
    <w:p w:rsidR="00792A24" w:rsidRDefault="00792A24" w:rsidP="00240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4C" w:rsidRDefault="0024004C" w:rsidP="009D675F">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24004C" w:rsidRDefault="0024004C">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4C" w:rsidRPr="0024004C" w:rsidRDefault="0024004C" w:rsidP="009D675F">
    <w:pPr>
      <w:pStyle w:val="af4"/>
      <w:framePr w:wrap="around" w:vAnchor="text" w:hAnchor="margin" w:xAlign="center" w:y="1"/>
      <w:rPr>
        <w:rStyle w:val="af8"/>
        <w:rFonts w:cs="Times New Roman"/>
        <w:sz w:val="24"/>
      </w:rPr>
    </w:pPr>
    <w:r w:rsidRPr="0024004C">
      <w:rPr>
        <w:rStyle w:val="af8"/>
        <w:rFonts w:cs="Times New Roman"/>
        <w:sz w:val="24"/>
      </w:rPr>
      <w:fldChar w:fldCharType="begin"/>
    </w:r>
    <w:r w:rsidRPr="0024004C">
      <w:rPr>
        <w:rStyle w:val="af8"/>
        <w:rFonts w:cs="Times New Roman"/>
        <w:sz w:val="24"/>
      </w:rPr>
      <w:instrText xml:space="preserve">PAGE  </w:instrText>
    </w:r>
    <w:r w:rsidRPr="0024004C">
      <w:rPr>
        <w:rStyle w:val="af8"/>
        <w:rFonts w:cs="Times New Roman"/>
        <w:sz w:val="24"/>
      </w:rPr>
      <w:fldChar w:fldCharType="separate"/>
    </w:r>
    <w:r>
      <w:rPr>
        <w:rStyle w:val="af8"/>
        <w:rFonts w:cs="Times New Roman"/>
        <w:noProof/>
        <w:sz w:val="24"/>
      </w:rPr>
      <w:t>8</w:t>
    </w:r>
    <w:r w:rsidRPr="0024004C">
      <w:rPr>
        <w:rStyle w:val="af8"/>
        <w:rFonts w:cs="Times New Roman"/>
        <w:sz w:val="24"/>
      </w:rPr>
      <w:fldChar w:fldCharType="end"/>
    </w:r>
  </w:p>
  <w:p w:rsidR="0024004C" w:rsidRPr="0024004C" w:rsidRDefault="0024004C">
    <w:pPr>
      <w:pStyle w:val="af4"/>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4C" w:rsidRDefault="0024004C">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24004C"/>
    <w:rsid w:val="0001475F"/>
    <w:rsid w:val="00020043"/>
    <w:rsid w:val="000B226D"/>
    <w:rsid w:val="00143170"/>
    <w:rsid w:val="00151337"/>
    <w:rsid w:val="0016284A"/>
    <w:rsid w:val="00163786"/>
    <w:rsid w:val="00170B17"/>
    <w:rsid w:val="00186E31"/>
    <w:rsid w:val="001C25AC"/>
    <w:rsid w:val="00226A98"/>
    <w:rsid w:val="0024004C"/>
    <w:rsid w:val="002529DC"/>
    <w:rsid w:val="00277C5A"/>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92A24"/>
    <w:rsid w:val="007A670B"/>
    <w:rsid w:val="00840063"/>
    <w:rsid w:val="008E6C33"/>
    <w:rsid w:val="00903B9D"/>
    <w:rsid w:val="009406D5"/>
    <w:rsid w:val="00945917"/>
    <w:rsid w:val="00992929"/>
    <w:rsid w:val="009D3ECB"/>
    <w:rsid w:val="00A570C8"/>
    <w:rsid w:val="00AD56D6"/>
    <w:rsid w:val="00B30A81"/>
    <w:rsid w:val="00B3527F"/>
    <w:rsid w:val="00B66D53"/>
    <w:rsid w:val="00BA0DB4"/>
    <w:rsid w:val="00C020AD"/>
    <w:rsid w:val="00C254DA"/>
    <w:rsid w:val="00C27FB5"/>
    <w:rsid w:val="00C656C7"/>
    <w:rsid w:val="00C7734A"/>
    <w:rsid w:val="00D727A5"/>
    <w:rsid w:val="00DA4F67"/>
    <w:rsid w:val="00DD6200"/>
    <w:rsid w:val="00DE2B23"/>
    <w:rsid w:val="00E30AE0"/>
    <w:rsid w:val="00E31BBE"/>
    <w:rsid w:val="00E36B71"/>
    <w:rsid w:val="00E73869"/>
    <w:rsid w:val="00EA3296"/>
    <w:rsid w:val="00F414B5"/>
    <w:rsid w:val="00F42208"/>
    <w:rsid w:val="00F7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
    <w:name w:val="title"/>
    <w:basedOn w:val="a"/>
    <w:rsid w:val="0024004C"/>
    <w:pPr>
      <w:spacing w:before="240" w:after="240"/>
      <w:ind w:right="2268" w:firstLine="0"/>
      <w:jc w:val="left"/>
    </w:pPr>
    <w:rPr>
      <w:rFonts w:eastAsia="Times New Roman" w:cs="Times New Roman"/>
      <w:b/>
      <w:bCs/>
      <w:szCs w:val="28"/>
      <w:lang w:val="ru-RU" w:eastAsia="ru-RU" w:bidi="ar-SA"/>
    </w:rPr>
  </w:style>
  <w:style w:type="paragraph" w:customStyle="1" w:styleId="titlep">
    <w:name w:val="titlep"/>
    <w:basedOn w:val="a"/>
    <w:rsid w:val="0024004C"/>
    <w:pPr>
      <w:spacing w:before="240" w:after="240"/>
      <w:ind w:firstLine="0"/>
      <w:jc w:val="center"/>
    </w:pPr>
    <w:rPr>
      <w:rFonts w:eastAsiaTheme="minorEastAsia" w:cs="Times New Roman"/>
      <w:b/>
      <w:bCs/>
      <w:sz w:val="24"/>
      <w:lang w:val="ru-RU" w:eastAsia="ru-RU" w:bidi="ar-SA"/>
    </w:rPr>
  </w:style>
  <w:style w:type="paragraph" w:customStyle="1" w:styleId="titleu">
    <w:name w:val="titleu"/>
    <w:basedOn w:val="a"/>
    <w:rsid w:val="0024004C"/>
    <w:pPr>
      <w:spacing w:before="240" w:after="240"/>
      <w:ind w:firstLine="0"/>
      <w:jc w:val="left"/>
    </w:pPr>
    <w:rPr>
      <w:rFonts w:eastAsiaTheme="minorEastAsia" w:cs="Times New Roman"/>
      <w:b/>
      <w:bCs/>
      <w:sz w:val="24"/>
      <w:lang w:val="ru-RU" w:eastAsia="ru-RU" w:bidi="ar-SA"/>
    </w:rPr>
  </w:style>
  <w:style w:type="paragraph" w:customStyle="1" w:styleId="point">
    <w:name w:val="point"/>
    <w:basedOn w:val="a"/>
    <w:rsid w:val="0024004C"/>
    <w:pPr>
      <w:ind w:firstLine="567"/>
    </w:pPr>
    <w:rPr>
      <w:rFonts w:eastAsiaTheme="minorEastAsia" w:cs="Times New Roman"/>
      <w:sz w:val="24"/>
      <w:lang w:val="ru-RU" w:eastAsia="ru-RU" w:bidi="ar-SA"/>
    </w:rPr>
  </w:style>
  <w:style w:type="paragraph" w:customStyle="1" w:styleId="preamble">
    <w:name w:val="preamble"/>
    <w:basedOn w:val="a"/>
    <w:rsid w:val="0024004C"/>
    <w:pPr>
      <w:ind w:firstLine="567"/>
    </w:pPr>
    <w:rPr>
      <w:rFonts w:eastAsiaTheme="minorEastAsia" w:cs="Times New Roman"/>
      <w:sz w:val="24"/>
      <w:lang w:val="ru-RU" w:eastAsia="ru-RU" w:bidi="ar-SA"/>
    </w:rPr>
  </w:style>
  <w:style w:type="paragraph" w:customStyle="1" w:styleId="snoski">
    <w:name w:val="snoski"/>
    <w:basedOn w:val="a"/>
    <w:rsid w:val="0024004C"/>
    <w:pPr>
      <w:ind w:firstLine="567"/>
    </w:pPr>
    <w:rPr>
      <w:rFonts w:eastAsiaTheme="minorEastAsia" w:cs="Times New Roman"/>
      <w:sz w:val="20"/>
      <w:szCs w:val="20"/>
      <w:lang w:val="ru-RU" w:eastAsia="ru-RU" w:bidi="ar-SA"/>
    </w:rPr>
  </w:style>
  <w:style w:type="paragraph" w:customStyle="1" w:styleId="snoskiline">
    <w:name w:val="snoskiline"/>
    <w:basedOn w:val="a"/>
    <w:rsid w:val="0024004C"/>
    <w:pPr>
      <w:ind w:firstLine="0"/>
    </w:pPr>
    <w:rPr>
      <w:rFonts w:eastAsiaTheme="minorEastAsia" w:cs="Times New Roman"/>
      <w:sz w:val="20"/>
      <w:szCs w:val="20"/>
      <w:lang w:val="ru-RU" w:eastAsia="ru-RU" w:bidi="ar-SA"/>
    </w:rPr>
  </w:style>
  <w:style w:type="paragraph" w:customStyle="1" w:styleId="table10">
    <w:name w:val="table10"/>
    <w:basedOn w:val="a"/>
    <w:rsid w:val="0024004C"/>
    <w:pPr>
      <w:ind w:firstLine="0"/>
      <w:jc w:val="left"/>
    </w:pPr>
    <w:rPr>
      <w:rFonts w:eastAsiaTheme="minorEastAsia" w:cs="Times New Roman"/>
      <w:sz w:val="20"/>
      <w:szCs w:val="20"/>
      <w:lang w:val="ru-RU" w:eastAsia="ru-RU" w:bidi="ar-SA"/>
    </w:rPr>
  </w:style>
  <w:style w:type="paragraph" w:customStyle="1" w:styleId="append">
    <w:name w:val="append"/>
    <w:basedOn w:val="a"/>
    <w:rsid w:val="0024004C"/>
    <w:pPr>
      <w:ind w:firstLine="0"/>
      <w:jc w:val="left"/>
    </w:pPr>
    <w:rPr>
      <w:rFonts w:eastAsiaTheme="minorEastAsia" w:cs="Times New Roman"/>
      <w:sz w:val="22"/>
      <w:szCs w:val="22"/>
      <w:lang w:val="ru-RU" w:eastAsia="ru-RU" w:bidi="ar-SA"/>
    </w:rPr>
  </w:style>
  <w:style w:type="paragraph" w:customStyle="1" w:styleId="changeadd">
    <w:name w:val="changeadd"/>
    <w:basedOn w:val="a"/>
    <w:rsid w:val="0024004C"/>
    <w:pPr>
      <w:ind w:left="1134" w:firstLine="567"/>
    </w:pPr>
    <w:rPr>
      <w:rFonts w:eastAsiaTheme="minorEastAsia" w:cs="Times New Roman"/>
      <w:sz w:val="24"/>
      <w:lang w:val="ru-RU" w:eastAsia="ru-RU" w:bidi="ar-SA"/>
    </w:rPr>
  </w:style>
  <w:style w:type="paragraph" w:customStyle="1" w:styleId="changei">
    <w:name w:val="changei"/>
    <w:basedOn w:val="a"/>
    <w:rsid w:val="0024004C"/>
    <w:pPr>
      <w:ind w:left="1021" w:firstLine="0"/>
      <w:jc w:val="left"/>
    </w:pPr>
    <w:rPr>
      <w:rFonts w:eastAsiaTheme="minorEastAsia" w:cs="Times New Roman"/>
      <w:sz w:val="24"/>
      <w:lang w:val="ru-RU" w:eastAsia="ru-RU" w:bidi="ar-SA"/>
    </w:rPr>
  </w:style>
  <w:style w:type="paragraph" w:customStyle="1" w:styleId="append1">
    <w:name w:val="append1"/>
    <w:basedOn w:val="a"/>
    <w:rsid w:val="0024004C"/>
    <w:pPr>
      <w:spacing w:after="28"/>
      <w:ind w:firstLine="0"/>
      <w:jc w:val="left"/>
    </w:pPr>
    <w:rPr>
      <w:rFonts w:eastAsiaTheme="minorEastAsia" w:cs="Times New Roman"/>
      <w:sz w:val="22"/>
      <w:szCs w:val="22"/>
      <w:lang w:val="ru-RU" w:eastAsia="ru-RU" w:bidi="ar-SA"/>
    </w:rPr>
  </w:style>
  <w:style w:type="paragraph" w:customStyle="1" w:styleId="cap1">
    <w:name w:val="cap1"/>
    <w:basedOn w:val="a"/>
    <w:rsid w:val="0024004C"/>
    <w:pPr>
      <w:ind w:firstLine="0"/>
      <w:jc w:val="left"/>
    </w:pPr>
    <w:rPr>
      <w:rFonts w:eastAsiaTheme="minorEastAsia" w:cs="Times New Roman"/>
      <w:sz w:val="22"/>
      <w:szCs w:val="22"/>
      <w:lang w:val="ru-RU" w:eastAsia="ru-RU" w:bidi="ar-SA"/>
    </w:rPr>
  </w:style>
  <w:style w:type="paragraph" w:customStyle="1" w:styleId="capu1">
    <w:name w:val="capu1"/>
    <w:basedOn w:val="a"/>
    <w:rsid w:val="0024004C"/>
    <w:pPr>
      <w:spacing w:after="120"/>
      <w:ind w:firstLine="0"/>
      <w:jc w:val="left"/>
    </w:pPr>
    <w:rPr>
      <w:rFonts w:eastAsiaTheme="minorEastAsia" w:cs="Times New Roman"/>
      <w:sz w:val="22"/>
      <w:szCs w:val="22"/>
      <w:lang w:val="ru-RU" w:eastAsia="ru-RU" w:bidi="ar-SA"/>
    </w:rPr>
  </w:style>
  <w:style w:type="paragraph" w:customStyle="1" w:styleId="newncpi">
    <w:name w:val="newncpi"/>
    <w:basedOn w:val="a"/>
    <w:rsid w:val="0024004C"/>
    <w:pPr>
      <w:ind w:firstLine="567"/>
    </w:pPr>
    <w:rPr>
      <w:rFonts w:eastAsiaTheme="minorEastAsia" w:cs="Times New Roman"/>
      <w:sz w:val="24"/>
      <w:lang w:val="ru-RU" w:eastAsia="ru-RU" w:bidi="ar-SA"/>
    </w:rPr>
  </w:style>
  <w:style w:type="paragraph" w:customStyle="1" w:styleId="newncpi0">
    <w:name w:val="newncpi0"/>
    <w:basedOn w:val="a"/>
    <w:rsid w:val="0024004C"/>
    <w:pPr>
      <w:ind w:firstLine="0"/>
    </w:pPr>
    <w:rPr>
      <w:rFonts w:eastAsiaTheme="minorEastAsia" w:cs="Times New Roman"/>
      <w:sz w:val="24"/>
      <w:lang w:val="ru-RU" w:eastAsia="ru-RU" w:bidi="ar-SA"/>
    </w:rPr>
  </w:style>
  <w:style w:type="paragraph" w:customStyle="1" w:styleId="edizmeren">
    <w:name w:val="edizmeren"/>
    <w:basedOn w:val="a"/>
    <w:rsid w:val="0024004C"/>
    <w:pPr>
      <w:ind w:firstLine="0"/>
      <w:jc w:val="right"/>
    </w:pPr>
    <w:rPr>
      <w:rFonts w:eastAsiaTheme="minorEastAsia" w:cs="Times New Roman"/>
      <w:sz w:val="20"/>
      <w:szCs w:val="20"/>
      <w:lang w:val="ru-RU" w:eastAsia="ru-RU" w:bidi="ar-SA"/>
    </w:rPr>
  </w:style>
  <w:style w:type="character" w:customStyle="1" w:styleId="name">
    <w:name w:val="name"/>
    <w:basedOn w:val="a0"/>
    <w:rsid w:val="0024004C"/>
    <w:rPr>
      <w:rFonts w:ascii="Times New Roman" w:hAnsi="Times New Roman" w:cs="Times New Roman" w:hint="default"/>
      <w:caps/>
    </w:rPr>
  </w:style>
  <w:style w:type="character" w:customStyle="1" w:styleId="promulgator">
    <w:name w:val="promulgator"/>
    <w:basedOn w:val="a0"/>
    <w:rsid w:val="0024004C"/>
    <w:rPr>
      <w:rFonts w:ascii="Times New Roman" w:hAnsi="Times New Roman" w:cs="Times New Roman" w:hint="default"/>
      <w:caps/>
    </w:rPr>
  </w:style>
  <w:style w:type="character" w:customStyle="1" w:styleId="datepr">
    <w:name w:val="datepr"/>
    <w:basedOn w:val="a0"/>
    <w:rsid w:val="0024004C"/>
    <w:rPr>
      <w:rFonts w:ascii="Times New Roman" w:hAnsi="Times New Roman" w:cs="Times New Roman" w:hint="default"/>
    </w:rPr>
  </w:style>
  <w:style w:type="character" w:customStyle="1" w:styleId="number">
    <w:name w:val="number"/>
    <w:basedOn w:val="a0"/>
    <w:rsid w:val="0024004C"/>
    <w:rPr>
      <w:rFonts w:ascii="Times New Roman" w:hAnsi="Times New Roman" w:cs="Times New Roman" w:hint="default"/>
    </w:rPr>
  </w:style>
  <w:style w:type="character" w:customStyle="1" w:styleId="post">
    <w:name w:val="post"/>
    <w:basedOn w:val="a0"/>
    <w:rsid w:val="0024004C"/>
    <w:rPr>
      <w:rFonts w:ascii="Times New Roman" w:hAnsi="Times New Roman" w:cs="Times New Roman" w:hint="default"/>
      <w:b/>
      <w:bCs/>
      <w:sz w:val="22"/>
      <w:szCs w:val="22"/>
    </w:rPr>
  </w:style>
  <w:style w:type="character" w:customStyle="1" w:styleId="pers">
    <w:name w:val="pers"/>
    <w:basedOn w:val="a0"/>
    <w:rsid w:val="0024004C"/>
    <w:rPr>
      <w:rFonts w:ascii="Times New Roman" w:hAnsi="Times New Roman" w:cs="Times New Roman" w:hint="default"/>
      <w:b/>
      <w:bCs/>
      <w:sz w:val="22"/>
      <w:szCs w:val="22"/>
    </w:rPr>
  </w:style>
  <w:style w:type="table" w:customStyle="1" w:styleId="tablencpi">
    <w:name w:val="tablencpi"/>
    <w:basedOn w:val="a1"/>
    <w:rsid w:val="0024004C"/>
    <w:pPr>
      <w:spacing w:after="0" w:line="240" w:lineRule="auto"/>
    </w:pPr>
    <w:rPr>
      <w:rFonts w:ascii="Times New Roman" w:eastAsia="Times New Roman" w:hAnsi="Times New Roman"/>
      <w:sz w:val="20"/>
      <w:szCs w:val="20"/>
      <w:lang w:val="ru-RU" w:eastAsia="ru-RU" w:bidi="ar-SA"/>
    </w:rPr>
    <w:tblPr>
      <w:tblInd w:w="0" w:type="dxa"/>
      <w:tblCellMar>
        <w:top w:w="0" w:type="dxa"/>
        <w:left w:w="0" w:type="dxa"/>
        <w:bottom w:w="0" w:type="dxa"/>
        <w:right w:w="0" w:type="dxa"/>
      </w:tblCellMar>
    </w:tblPr>
  </w:style>
  <w:style w:type="paragraph" w:styleId="af4">
    <w:name w:val="header"/>
    <w:basedOn w:val="a"/>
    <w:link w:val="af5"/>
    <w:uiPriority w:val="99"/>
    <w:semiHidden/>
    <w:unhideWhenUsed/>
    <w:rsid w:val="0024004C"/>
    <w:pPr>
      <w:tabs>
        <w:tab w:val="center" w:pos="4677"/>
        <w:tab w:val="right" w:pos="9355"/>
      </w:tabs>
    </w:pPr>
  </w:style>
  <w:style w:type="character" w:customStyle="1" w:styleId="af5">
    <w:name w:val="Верхний колонтитул Знак"/>
    <w:basedOn w:val="a0"/>
    <w:link w:val="af4"/>
    <w:uiPriority w:val="99"/>
    <w:semiHidden/>
    <w:rsid w:val="0024004C"/>
    <w:rPr>
      <w:rFonts w:ascii="Times New Roman" w:hAnsi="Times New Roman" w:cs="font289"/>
      <w:sz w:val="28"/>
      <w:szCs w:val="24"/>
    </w:rPr>
  </w:style>
  <w:style w:type="paragraph" w:styleId="af6">
    <w:name w:val="footer"/>
    <w:basedOn w:val="a"/>
    <w:link w:val="af7"/>
    <w:uiPriority w:val="99"/>
    <w:semiHidden/>
    <w:unhideWhenUsed/>
    <w:rsid w:val="0024004C"/>
    <w:pPr>
      <w:tabs>
        <w:tab w:val="center" w:pos="4677"/>
        <w:tab w:val="right" w:pos="9355"/>
      </w:tabs>
    </w:pPr>
  </w:style>
  <w:style w:type="character" w:customStyle="1" w:styleId="af7">
    <w:name w:val="Нижний колонтитул Знак"/>
    <w:basedOn w:val="a0"/>
    <w:link w:val="af6"/>
    <w:uiPriority w:val="99"/>
    <w:semiHidden/>
    <w:rsid w:val="0024004C"/>
    <w:rPr>
      <w:rFonts w:ascii="Times New Roman" w:hAnsi="Times New Roman" w:cs="font289"/>
      <w:sz w:val="28"/>
      <w:szCs w:val="24"/>
    </w:rPr>
  </w:style>
  <w:style w:type="character" w:styleId="af8">
    <w:name w:val="page number"/>
    <w:basedOn w:val="a0"/>
    <w:uiPriority w:val="99"/>
    <w:semiHidden/>
    <w:unhideWhenUsed/>
    <w:rsid w:val="0024004C"/>
  </w:style>
  <w:style w:type="table" w:styleId="af9">
    <w:name w:val="Table Grid"/>
    <w:basedOn w:val="a1"/>
    <w:uiPriority w:val="59"/>
    <w:rsid w:val="00240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2896</Words>
  <Characters>20771</Characters>
  <Application>Microsoft Office Word</Application>
  <DocSecurity>0</DocSecurity>
  <Lines>441</Lines>
  <Paragraphs>155</Paragraphs>
  <ScaleCrop>false</ScaleCrop>
  <Company/>
  <LinksUpToDate>false</LinksUpToDate>
  <CharactersWithSpaces>23512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2020-06-23T06:18:00Z</dcterms:created>
  <dcterms:modified xsi:type="dcterms:W3CDTF">2020-06-23T06:18:00Z</dcterms:modified>
</cp:coreProperties>
</file>