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2"/>
      </w:pPr>
      <w:bookmarkStart w:id="0" w:name="_GoBack"/>
      <w:bookmarkEnd w:id="0"/>
      <w:r>
        <w:br w:type="textWrapping"/>
      </w:r>
    </w:p>
    <w:p>
      <w:pPr>
        <w:pStyle w:val="29"/>
        <w:jc w:val="both"/>
      </w:pPr>
    </w:p>
    <w:p>
      <w:pPr>
        <w:pStyle w:val="29"/>
        <w:jc w:val="both"/>
      </w:pPr>
      <w:r>
        <w:t>Зарегистрировано в Национальном реестре правовых актов</w:t>
      </w:r>
    </w:p>
    <w:p>
      <w:pPr>
        <w:pStyle w:val="29"/>
        <w:jc w:val="both"/>
      </w:pPr>
      <w:r>
        <w:t>Республики Беларусь 15 мая 2019 г. N 8/34160</w:t>
      </w:r>
    </w:p>
    <w:p>
      <w:pPr>
        <w:pStyle w:val="29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29"/>
        <w:jc w:val="both"/>
      </w:pPr>
    </w:p>
    <w:p>
      <w:pPr>
        <w:pStyle w:val="31"/>
        <w:jc w:val="center"/>
      </w:pPr>
      <w:r>
        <w:t>ПОСТАНОВЛЕНИЕ МИНИСТЕРСТВА ОБОРОНЫ РЕСПУБЛИКИ БЕЛАРУСЬ</w:t>
      </w:r>
    </w:p>
    <w:p>
      <w:pPr>
        <w:pStyle w:val="31"/>
        <w:jc w:val="center"/>
      </w:pPr>
      <w:r>
        <w:t>26 марта 2019 г. N 6</w:t>
      </w:r>
    </w:p>
    <w:p>
      <w:pPr>
        <w:pStyle w:val="31"/>
        <w:jc w:val="center"/>
      </w:pPr>
    </w:p>
    <w:p>
      <w:pPr>
        <w:pStyle w:val="31"/>
        <w:jc w:val="center"/>
      </w:pPr>
      <w:r>
        <w:t>ОБ ИЗМЕНЕНИИ ПОСТАНОВЛЕНИЙ МИНИСТЕРСТВА ОБОРОНЫ РЕСПУБЛИКИ БЕЛАРУСЬ ОТ 4 ДЕКАБРЯ 2009 Г. N 72 И ОТ 19 ДЕКАБРЯ 2016 Г. N 38</w:t>
      </w:r>
    </w:p>
    <w:p>
      <w:pPr>
        <w:pStyle w:val="29"/>
        <w:jc w:val="both"/>
      </w:pPr>
    </w:p>
    <w:p>
      <w:pPr>
        <w:pStyle w:val="29"/>
        <w:ind w:firstLine="540"/>
        <w:jc w:val="both"/>
      </w:pPr>
      <w:r>
        <w:t xml:space="preserve">На основании </w:t>
      </w:r>
      <w:r>
        <w:fldChar w:fldCharType="begin"/>
      </w:r>
      <w:r>
        <w:instrText xml:space="preserve"> HYPERLINK "consultantplus://offline/ref=636FEF47CCCF23407F0F2528657A5D9778A8C8FEEE6BE57EA43D54FAA35F8D54B7C5E0A1DCC24BC646C23F15CBq2o6G" </w:instrText>
      </w:r>
      <w:r>
        <w:fldChar w:fldCharType="separate"/>
      </w:r>
      <w:r>
        <w:rPr>
          <w:color w:val="0000FF"/>
        </w:rPr>
        <w:t>статьи 6</w:t>
      </w:r>
      <w:r>
        <w:rPr>
          <w:color w:val="0000FF"/>
        </w:rPr>
        <w:fldChar w:fldCharType="end"/>
      </w:r>
      <w:r>
        <w:t xml:space="preserve"> Воздушного кодекса Республики Беларусь, </w:t>
      </w:r>
      <w:r>
        <w:fldChar w:fldCharType="begin"/>
      </w:r>
      <w:r>
        <w:instrText xml:space="preserve"> HYPERLINK "consultantplus://offline/ref=636FEF47CCCF23407F0F2528657A5D9778A8C8FEEE6BE37DA53159FAA35F8D54B7C5E0A1DCC24BC646C23F12CBq2o3G" </w:instrText>
      </w:r>
      <w:r>
        <w:fldChar w:fldCharType="separate"/>
      </w:r>
      <w:r>
        <w:rPr>
          <w:color w:val="0000FF"/>
        </w:rPr>
        <w:t>пункта 1</w:t>
      </w:r>
      <w:r>
        <w:rPr>
          <w:color w:val="0000FF"/>
        </w:rPr>
        <w:fldChar w:fldCharType="end"/>
      </w:r>
      <w:r>
        <w:t xml:space="preserve"> постановления Совета Министров Республики Беларусь от 4 декабря 2006 г. N 1617 "О некоторых мерах по реализации Воздушного кодекса Республики Беларусь" и </w:t>
      </w:r>
      <w:r>
        <w:fldChar w:fldCharType="begin"/>
      </w:r>
      <w:r>
        <w:instrText xml:space="preserve"> HYPERLINK "consultantplus://offline/ref=636FEF47CCCF23407F0F2528657A5D9778A8C8FEEE6BE679AF325BFAA35F8D54B7C5E0A1DCC24BC646C23F10CCq2o0G" </w:instrText>
      </w:r>
      <w:r>
        <w:fldChar w:fldCharType="separate"/>
      </w:r>
      <w:r>
        <w:rPr>
          <w:color w:val="0000FF"/>
        </w:rPr>
        <w:t>подпункта 7.4 пункта 7</w:t>
      </w:r>
      <w:r>
        <w:rPr>
          <w:color w:val="0000FF"/>
        </w:rPr>
        <w:fldChar w:fldCharType="end"/>
      </w:r>
      <w:r>
        <w:t xml:space="preserve"> Положения о Министерстве обороны Республики Беларусь, утвержденного Указом Президента Республики Беларусь от 7 декабря 2006 г. N 719, Министерство обороны Республики Беларусь ПОСТАНОВЛЯЕТ:</w:t>
      </w:r>
    </w:p>
    <w:p>
      <w:pPr>
        <w:pStyle w:val="29"/>
        <w:ind w:firstLine="540"/>
        <w:jc w:val="both"/>
      </w:pPr>
      <w:r>
        <w:t>1. Внести изменения в следующие постановления Министерства обороны Республики Беларусь:</w:t>
      </w:r>
    </w:p>
    <w:p>
      <w:pPr>
        <w:pStyle w:val="29"/>
        <w:ind w:firstLine="540"/>
        <w:jc w:val="both"/>
      </w:pPr>
      <w:r>
        <w:t xml:space="preserve">1.1. в Авиационных </w:t>
      </w:r>
      <w:r>
        <w:fldChar w:fldCharType="begin"/>
      </w:r>
      <w:r>
        <w:instrText xml:space="preserve"> HYPERLINK "consultantplus://offline/ref=636FEF47CCCF23407F0F2528657A5D9778A8C8FEEE6BE379A43D5DFAA35F8D54B7C5E0A1DCC24BC646C23F12CAq2o7G" </w:instrText>
      </w:r>
      <w:r>
        <w:fldChar w:fldCharType="separate"/>
      </w:r>
      <w:r>
        <w:rPr>
          <w:color w:val="0000FF"/>
        </w:rPr>
        <w:t>правилах</w:t>
      </w:r>
      <w:r>
        <w:rPr>
          <w:color w:val="0000FF"/>
        </w:rPr>
        <w:fldChar w:fldCharType="end"/>
      </w:r>
      <w:r>
        <w:t xml:space="preserve"> организации и выполнения полетов государственных беспилотных летательных аппаратов Республики Беларусь, утвержденных постановлением Министерства обороны Республики Беларусь от 4 декабря 2009 г. N 72:</w:t>
      </w:r>
    </w:p>
    <w:p>
      <w:pPr>
        <w:pStyle w:val="29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"consultantplus://offline/ref=636FEF47CCCF23407F0F2528657A5D9778A8C8FEEE6BE379A43D5DFAA35F8D54B7C5E0A1DCC24BC646C23F12C3q2oFG" </w:instrText>
      </w:r>
      <w:r>
        <w:fldChar w:fldCharType="separate"/>
      </w:r>
      <w:r>
        <w:rPr>
          <w:color w:val="0000FF"/>
        </w:rPr>
        <w:t>пункте 5</w:t>
      </w:r>
      <w:r>
        <w:rPr>
          <w:color w:val="0000FF"/>
        </w:rPr>
        <w:fldChar w:fldCharType="end"/>
      </w:r>
      <w:r>
        <w:t>:</w:t>
      </w:r>
    </w:p>
    <w:p>
      <w:pPr>
        <w:pStyle w:val="29"/>
        <w:ind w:firstLine="540"/>
        <w:jc w:val="both"/>
      </w:pPr>
      <w:r>
        <w:fldChar w:fldCharType="begin"/>
      </w:r>
      <w:r>
        <w:instrText xml:space="preserve"> HYPERLINK "consultantplus://offline/ref=636FEF47CCCF23407F0F2528657A5D9778A8C8FEEE6BE379A43D5DFAA35F8D54B7C5E0A1DCC24BC646C23F12C2q2o2G" </w:instrText>
      </w:r>
      <w:r>
        <w:fldChar w:fldCharType="separate"/>
      </w:r>
      <w:r>
        <w:rPr>
          <w:color w:val="0000FF"/>
        </w:rPr>
        <w:t>абзацы шестой</w:t>
      </w:r>
      <w:r>
        <w:rPr>
          <w:color w:val="0000FF"/>
        </w:rP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"consultantplus://offline/ref=636FEF47CCCF23407F0F2528657A5D9778A8C8FEEE6BE379A43D5DFAA35F8D54B7C5E0A1DCC24BC646C23F12C2q2o3G" </w:instrText>
      </w:r>
      <w:r>
        <w:fldChar w:fldCharType="separate"/>
      </w:r>
      <w:r>
        <w:rPr>
          <w:color w:val="0000FF"/>
        </w:rPr>
        <w:t>седьмой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>
      <w:pPr>
        <w:pStyle w:val="29"/>
        <w:ind w:firstLine="540"/>
        <w:jc w:val="both"/>
      </w:pPr>
      <w:r>
        <w:t>"БАК - совокупность функционально связанных элементов, включающая один или несколько беспилотных летательных аппаратов, средства обеспечения взлета и посадки и средства управления одним или несколькими беспилотными летательными аппаратами;</w:t>
      </w:r>
    </w:p>
    <w:p>
      <w:pPr>
        <w:pStyle w:val="29"/>
        <w:ind w:firstLine="540"/>
        <w:jc w:val="both"/>
      </w:pPr>
      <w:r>
        <w:t>БЛА - воздушное судно, предназначенное для выполнения полета без экипажа на борту;";</w:t>
      </w:r>
    </w:p>
    <w:p>
      <w:pPr>
        <w:pStyle w:val="29"/>
        <w:ind w:firstLine="540"/>
        <w:jc w:val="both"/>
      </w:pPr>
      <w:r>
        <w:fldChar w:fldCharType="begin"/>
      </w:r>
      <w:r>
        <w:instrText xml:space="preserve"> HYPERLINK "consultantplus://offline/ref=636FEF47CCCF23407F0F2528657A5D9778A8C8FEEE6BE379A43D5DFAA35F8D54B7C5E0A1DCC24BC646C23F13CAq2o2G" </w:instrText>
      </w:r>
      <w:r>
        <w:fldChar w:fldCharType="separate"/>
      </w:r>
      <w:r>
        <w:rPr>
          <w:color w:val="0000FF"/>
        </w:rPr>
        <w:t>абзацы двадцать шестой</w:t>
      </w:r>
      <w:r>
        <w:rPr>
          <w:color w:val="0000FF"/>
        </w:rP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"consultantplus://offline/ref=636FEF47CCCF23407F0F2528657A5D9778A8C8FEEE6BE379A43D5DFAA35F8D54B7C5E0A1DCC24BC646C23F13CAq2o3G" </w:instrText>
      </w:r>
      <w:r>
        <w:fldChar w:fldCharType="separate"/>
      </w:r>
      <w:r>
        <w:rPr>
          <w:color w:val="0000FF"/>
        </w:rPr>
        <w:t>двадцать седьмой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>
      <w:pPr>
        <w:pStyle w:val="29"/>
        <w:ind w:firstLine="540"/>
        <w:jc w:val="both"/>
      </w:pPr>
      <w:r>
        <w:t>"оператор БЛА - лицо нелетного авиационного персонала, осуществляющее управление БЛА с помощью технических средств;</w:t>
      </w:r>
    </w:p>
    <w:p>
      <w:pPr>
        <w:pStyle w:val="29"/>
        <w:ind w:firstLine="540"/>
        <w:jc w:val="both"/>
      </w:pPr>
      <w:r>
        <w:t>посадочная площадка - земельный участок или специально подготовленная искусственная площадка, пригодные для взлета и посадки воздушных судов;";</w:t>
      </w:r>
    </w:p>
    <w:p>
      <w:pPr>
        <w:pStyle w:val="29"/>
        <w:ind w:firstLine="540"/>
        <w:jc w:val="both"/>
      </w:pPr>
      <w:r>
        <w:t xml:space="preserve">из </w:t>
      </w:r>
      <w:r>
        <w:fldChar w:fldCharType="begin"/>
      </w:r>
      <w:r>
        <w:instrText xml:space="preserve"> HYPERLINK "consultantplus://offline/ref=636FEF47CCCF23407F0F2528657A5D9778A8C8FEEE6BE379A43D5DFAA35F8D54B7C5E0A1DCC24BC646C23F1BCDq2o2G" </w:instrText>
      </w:r>
      <w:r>
        <w:fldChar w:fldCharType="separate"/>
      </w:r>
      <w:r>
        <w:rPr>
          <w:color w:val="0000FF"/>
        </w:rPr>
        <w:t>пункта 211</w:t>
      </w:r>
      <w:r>
        <w:rPr>
          <w:color w:val="0000FF"/>
        </w:rPr>
        <w:fldChar w:fldCharType="end"/>
      </w:r>
      <w:r>
        <w:t xml:space="preserve"> слово "иных" исключить;</w:t>
      </w:r>
    </w:p>
    <w:p>
      <w:pPr>
        <w:pStyle w:val="29"/>
        <w:ind w:firstLine="540"/>
        <w:jc w:val="both"/>
      </w:pPr>
      <w:r>
        <w:t xml:space="preserve">1.2. в Авиационных </w:t>
      </w:r>
      <w:r>
        <w:fldChar w:fldCharType="begin"/>
      </w:r>
      <w:r>
        <w:instrText xml:space="preserve"> HYPERLINK "consultantplus://offline/ref=636FEF47CCCF23407F0F2528657A5D9778A8C8FEEE6BE67EAD315EFAA35F8D54B7C5E0A1DCC24BC646C23F12CAq2o7G" </w:instrText>
      </w:r>
      <w:r>
        <w:fldChar w:fldCharType="separate"/>
      </w:r>
      <w:r>
        <w:rPr>
          <w:color w:val="0000FF"/>
        </w:rPr>
        <w:t>правилах</w:t>
      </w:r>
      <w:r>
        <w:rPr>
          <w:color w:val="0000FF"/>
        </w:rPr>
        <w:fldChar w:fldCharType="end"/>
      </w:r>
      <w:r>
        <w:t xml:space="preserve"> допуска к эксплуатации аэродромов (вертодромов) государственной авиации Республики Беларусь, утвержденных постановлением Министерства обороны Республики Беларусь от 19 декабря 2016 г. N 38:</w:t>
      </w:r>
    </w:p>
    <w:p>
      <w:pPr>
        <w:pStyle w:val="29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"consultantplus://offline/ref=636FEF47CCCF23407F0F2528657A5D9778A8C8FEEE6BE67EAD315EFAA35F8D54B7C5E0A1DCC24BC646C23F12CCq2o4G" </w:instrText>
      </w:r>
      <w:r>
        <w:fldChar w:fldCharType="separate"/>
      </w:r>
      <w:r>
        <w:rPr>
          <w:color w:val="0000FF"/>
        </w:rPr>
        <w:t>абзаце третьем пункта 3</w:t>
      </w:r>
      <w:r>
        <w:rPr>
          <w:color w:val="0000FF"/>
        </w:rPr>
        <w:fldChar w:fldCharType="end"/>
      </w:r>
      <w:r>
        <w:t xml:space="preserve"> слова "Государственном реестре" заменить словами "Государственном реестре аэродромов государственной авиации Республики Беларусь (Государственном реестре вертодромов государственной авиации Республики Беларусь);";</w:t>
      </w:r>
    </w:p>
    <w:p>
      <w:pPr>
        <w:pStyle w:val="29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"consultantplus://offline/ref=636FEF47CCCF23407F0F2528657A5D9778A8C8FEEE6BE67EAD315EFAA35F8D54B7C5E0A1DCC24BC646C23F13CDq2o2G" </w:instrText>
      </w:r>
      <w:r>
        <w:fldChar w:fldCharType="separate"/>
      </w:r>
      <w:r>
        <w:rPr>
          <w:color w:val="0000FF"/>
        </w:rPr>
        <w:t>пункте 25</w:t>
      </w:r>
      <w:r>
        <w:rPr>
          <w:color w:val="0000FF"/>
        </w:rPr>
        <w:fldChar w:fldCharType="end"/>
      </w:r>
      <w:r>
        <w:t xml:space="preserve"> слово "ДОСААФ" заменить словами "решением ДОСААФ";</w:t>
      </w:r>
    </w:p>
    <w:p>
      <w:pPr>
        <w:pStyle w:val="29"/>
        <w:ind w:firstLine="540"/>
        <w:jc w:val="both"/>
      </w:pPr>
      <w:r>
        <w:fldChar w:fldCharType="begin"/>
      </w:r>
      <w:r>
        <w:instrText xml:space="preserve"> HYPERLINK "consultantplus://offline/ref=636FEF47CCCF23407F0F2528657A5D9778A8C8FEEE6BE67EAD315EFAA35F8D54B7C5E0A1DCC24BC646C23F11CFq2o3G" </w:instrText>
      </w:r>
      <w:r>
        <w:fldChar w:fldCharType="separate"/>
      </w:r>
      <w:r>
        <w:rPr>
          <w:color w:val="0000FF"/>
        </w:rPr>
        <w:t>пункт 92</w:t>
      </w:r>
      <w:r>
        <w:rPr>
          <w:color w:val="0000FF"/>
        </w:rPr>
        <w:fldChar w:fldCharType="end"/>
      </w:r>
      <w:r>
        <w:t xml:space="preserve"> изложить в следующей редакции:</w:t>
      </w:r>
    </w:p>
    <w:p>
      <w:pPr>
        <w:pStyle w:val="29"/>
        <w:ind w:firstLine="540"/>
        <w:jc w:val="both"/>
      </w:pPr>
      <w:r>
        <w:t>"92. К эксплуатации допускаются аэродром, зарегистрированный в Государственном реестре аэродромов государственной авиации Республики Беларусь, и вертодром, зарегистрированный в Государственном реестре вертодромов государственной авиации Республики Беларусь, соответствующие установленным требованиям годности к эксплуатации аэродромов (вертодромов) и оборудования, установленного на них, определенным в авиационных правилах государственной авиации Республики Беларусь.";</w:t>
      </w:r>
    </w:p>
    <w:p>
      <w:pPr>
        <w:pStyle w:val="29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"consultantplus://offline/ref=636FEF47CCCF23407F0F2528657A5D9778A8C8FEEE6BE67EAD315EFAA35F8D54B7C5E0A1DCC24BC646C23F1BC8q2oEG" </w:instrText>
      </w:r>
      <w:r>
        <w:fldChar w:fldCharType="separate"/>
      </w:r>
      <w:r>
        <w:rPr>
          <w:color w:val="0000FF"/>
        </w:rPr>
        <w:t>приложении 17</w:t>
      </w:r>
      <w:r>
        <w:rPr>
          <w:color w:val="0000FF"/>
        </w:rPr>
        <w:fldChar w:fldCharType="end"/>
      </w:r>
      <w:r>
        <w:t xml:space="preserve"> к этим Авиационным правилам:</w:t>
      </w:r>
    </w:p>
    <w:p>
      <w:pPr>
        <w:pStyle w:val="29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"consultantplus://offline/ref=636FEF47CCCF23407F0F2528657A5D9778A8C8FEEE6BE67EAD315EFAA35F8D54B7C5E0A1DCC24BC646C23E12CAq2oFG" </w:instrText>
      </w:r>
      <w:r>
        <w:fldChar w:fldCharType="separate"/>
      </w:r>
      <w:r>
        <w:rPr>
          <w:color w:val="0000FF"/>
        </w:rPr>
        <w:t>абзаце третьем части второй подпункта 2.8 пункта 2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"consultantplus://offline/ref=636FEF47CCCF23407F0F2528657A5D9778A8C8FEEE6BE67EAD315EFAA35F8D54B7C5E0A1DCC24BC646C23E12C9q2o3G" </w:instrText>
      </w:r>
      <w:r>
        <w:fldChar w:fldCharType="separate"/>
      </w:r>
      <w:r>
        <w:rPr>
          <w:color w:val="0000FF"/>
        </w:rPr>
        <w:t>абзаце четвертом части второй пункта 3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"consultantplus://offline/ref=636FEF47CCCF23407F0F2528657A5D9778A8C8FEEE6BE67EAD315EFAA35F8D54B7C5E0A1DCC24BC646C23E12C8q2o7G" </w:instrText>
      </w:r>
      <w:r>
        <w:fldChar w:fldCharType="separate"/>
      </w:r>
      <w:r>
        <w:rPr>
          <w:color w:val="0000FF"/>
        </w:rPr>
        <w:t>абзаце третьем части второй пункта 4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"consultantplus://offline/ref=636FEF47CCCF23407F0F2528657A5D9778A8C8FEEE6BE67EAD315EFAA35F8D54B7C5E0A1DCC24BC646C23E12C8q2o1G" </w:instrText>
      </w:r>
      <w:r>
        <w:fldChar w:fldCharType="separate"/>
      </w:r>
      <w:r>
        <w:rPr>
          <w:color w:val="0000FF"/>
        </w:rPr>
        <w:t>части третьей пункта 5</w:t>
      </w:r>
      <w:r>
        <w:rPr>
          <w:color w:val="0000FF"/>
        </w:rP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"consultantplus://offline/ref=636FEF47CCCF23407F0F2528657A5D9778A8C8FEEE6BE67EAD315EFAA35F8D54B7C5E0A1DCC24BC646C23E12CFq2o1G" </w:instrText>
      </w:r>
      <w:r>
        <w:fldChar w:fldCharType="separate"/>
      </w:r>
      <w:r>
        <w:rPr>
          <w:color w:val="0000FF"/>
        </w:rPr>
        <w:t>части третьей пункта 8</w:t>
      </w:r>
      <w:r>
        <w:rPr>
          <w:color w:val="0000FF"/>
        </w:rPr>
        <w:fldChar w:fldCharType="end"/>
      </w:r>
      <w:r>
        <w:t xml:space="preserve"> слово "ДОСААФ" заменить словами "решении ДОСААФ";</w:t>
      </w:r>
    </w:p>
    <w:p>
      <w:pPr>
        <w:pStyle w:val="29"/>
        <w:ind w:firstLine="540"/>
        <w:jc w:val="both"/>
      </w:pPr>
      <w:r>
        <w:t xml:space="preserve">в </w:t>
      </w:r>
      <w:r>
        <w:fldChar w:fldCharType="begin"/>
      </w:r>
      <w:r>
        <w:instrText xml:space="preserve"> HYPERLINK "consultantplus://offline/ref=636FEF47CCCF23407F0F2528657A5D9778A8C8FEEE6BE67EAD315EFAA35F8D54B7C5E0A1DCC24BC646C23E12CFq2o4G" </w:instrText>
      </w:r>
      <w:r>
        <w:fldChar w:fldCharType="separate"/>
      </w:r>
      <w:r>
        <w:rPr>
          <w:color w:val="0000FF"/>
        </w:rPr>
        <w:t>части второй пункта 7</w:t>
      </w:r>
      <w:r>
        <w:rPr>
          <w:color w:val="0000FF"/>
        </w:rPr>
        <w:fldChar w:fldCharType="end"/>
      </w:r>
      <w:r>
        <w:t xml:space="preserve"> слово "ДОСААФ" заменить словами "решением ДОСААФ".</w:t>
      </w:r>
    </w:p>
    <w:p>
      <w:pPr>
        <w:pStyle w:val="29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>
      <w:pPr>
        <w:pStyle w:val="29"/>
        <w:jc w:val="both"/>
      </w:pPr>
    </w:p>
    <w:p>
      <w:pPr>
        <w:pStyle w:val="29"/>
      </w:pPr>
      <w:r>
        <w:t>Министр</w:t>
      </w:r>
    </w:p>
    <w:tbl>
      <w:tblPr>
        <w:tblStyle w:val="8"/>
        <w:tblW w:w="93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9"/>
            </w:pPr>
            <w:r>
              <w:t>генерал-лейтенант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9"/>
              <w:jc w:val="right"/>
            </w:pPr>
            <w:r>
              <w:t>А.А.Равков</w:t>
            </w:r>
          </w:p>
        </w:tc>
      </w:tr>
    </w:tbl>
    <w:p>
      <w:pPr>
        <w:pStyle w:val="29"/>
        <w:jc w:val="both"/>
      </w:pPr>
    </w:p>
    <w:p>
      <w:pPr>
        <w:pStyle w:val="30"/>
        <w:jc w:val="both"/>
      </w:pPr>
      <w:r>
        <w:t>СОГЛАСОВАНО</w:t>
      </w:r>
    </w:p>
    <w:p>
      <w:pPr>
        <w:pStyle w:val="30"/>
        <w:jc w:val="both"/>
      </w:pPr>
      <w:r>
        <w:t>Министерство</w:t>
      </w:r>
    </w:p>
    <w:p>
      <w:pPr>
        <w:pStyle w:val="30"/>
        <w:jc w:val="both"/>
      </w:pPr>
      <w:r>
        <w:t>по чрезвычайным ситуациям</w:t>
      </w:r>
    </w:p>
    <w:p>
      <w:pPr>
        <w:pStyle w:val="30"/>
        <w:jc w:val="both"/>
      </w:pPr>
      <w:r>
        <w:t>Республики Беларусь</w:t>
      </w:r>
    </w:p>
    <w:p>
      <w:pPr>
        <w:pStyle w:val="30"/>
        <w:jc w:val="both"/>
      </w:pPr>
    </w:p>
    <w:p>
      <w:pPr>
        <w:pStyle w:val="30"/>
        <w:jc w:val="both"/>
      </w:pPr>
      <w:r>
        <w:t>Государственный пограничный комитет</w:t>
      </w:r>
    </w:p>
    <w:p>
      <w:pPr>
        <w:pStyle w:val="30"/>
        <w:jc w:val="both"/>
      </w:pPr>
      <w:r>
        <w:t>Республики Беларусь</w:t>
      </w:r>
    </w:p>
    <w:p>
      <w:pPr>
        <w:pStyle w:val="30"/>
        <w:jc w:val="both"/>
      </w:pPr>
    </w:p>
    <w:p>
      <w:pPr>
        <w:pStyle w:val="30"/>
        <w:jc w:val="both"/>
      </w:pPr>
      <w:r>
        <w:t>Государственный</w:t>
      </w:r>
    </w:p>
    <w:p>
      <w:pPr>
        <w:pStyle w:val="30"/>
        <w:jc w:val="both"/>
      </w:pPr>
      <w:r>
        <w:t>военно-промышленный комитет</w:t>
      </w:r>
    </w:p>
    <w:p>
      <w:pPr>
        <w:pStyle w:val="30"/>
        <w:jc w:val="both"/>
      </w:pPr>
      <w:r>
        <w:t>Республики Беларусь</w:t>
      </w:r>
    </w:p>
    <w:p>
      <w:pPr>
        <w:pStyle w:val="30"/>
        <w:jc w:val="both"/>
      </w:pPr>
    </w:p>
    <w:p>
      <w:pPr>
        <w:pStyle w:val="30"/>
        <w:jc w:val="both"/>
      </w:pPr>
      <w:r>
        <w:t>Республиканское государственно-</w:t>
      </w:r>
    </w:p>
    <w:p>
      <w:pPr>
        <w:pStyle w:val="30"/>
        <w:jc w:val="both"/>
      </w:pPr>
      <w:r>
        <w:t>общественное объединение</w:t>
      </w:r>
    </w:p>
    <w:p>
      <w:pPr>
        <w:pStyle w:val="30"/>
        <w:jc w:val="both"/>
      </w:pPr>
      <w:r>
        <w:t>"Добровольное общество</w:t>
      </w:r>
    </w:p>
    <w:p>
      <w:pPr>
        <w:pStyle w:val="30"/>
        <w:jc w:val="both"/>
      </w:pPr>
      <w:r>
        <w:t>содействия армии, авиации и флоту</w:t>
      </w:r>
    </w:p>
    <w:p>
      <w:pPr>
        <w:pStyle w:val="30"/>
        <w:jc w:val="both"/>
      </w:pPr>
      <w:r>
        <w:t>Республики Беларусь"</w:t>
      </w:r>
    </w:p>
    <w:p>
      <w:pPr>
        <w:pStyle w:val="29"/>
        <w:jc w:val="both"/>
      </w:pPr>
    </w:p>
    <w:p>
      <w:pPr>
        <w:pStyle w:val="29"/>
        <w:jc w:val="both"/>
      </w:pPr>
    </w:p>
    <w:p>
      <w:pPr>
        <w:pStyle w:val="29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CC"/>
    <w:family w:val="swiss"/>
    <w:pitch w:val="default"/>
    <w:sig w:usb0="00000000" w:usb1="00000000" w:usb2="00000009" w:usb3="00000000" w:csb0="0000019F" w:csb1="00000000"/>
  </w:font>
  <w:font w:name="Cambria">
    <w:altName w:val="Georgia"/>
    <w:panose1 w:val="02040503050406030204"/>
    <w:charset w:val="CC"/>
    <w:family w:val="roman"/>
    <w:pitch w:val="default"/>
    <w:sig w:usb0="00000000" w:usb1="00000000" w:usb2="00000000" w:usb3="00000000" w:csb0="0000019F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Tahoma">
    <w:altName w:val="Verdana"/>
    <w:panose1 w:val="020B0604030504040204"/>
    <w:charset w:val="CC"/>
    <w:family w:val="swiss"/>
    <w:pitch w:val="default"/>
    <w:sig w:usb0="00000000" w:usb1="00000000" w:usb2="00000008" w:usb3="00000000" w:csb0="000101F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erdana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E9"/>
    <w:rsid w:val="00C44D1E"/>
    <w:rsid w:val="00D23AE9"/>
    <w:rsid w:val="00F52D0B"/>
    <w:rsid w:val="EEF7F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uiPriority="9" w:name="heading 4"/>
    <w:lsdException w:uiPriority="9" w:name="heading 5"/>
    <w:lsdException w:uiPriority="9" w:name="heading 6"/>
    <w:lsdException w:uiPriority="9" w:name="heading 7"/>
    <w:lsdException w:uiPriority="9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outlineLvl w:val="0"/>
    </w:pPr>
    <w:rPr>
      <w:rFonts w:eastAsia="Times New Roman"/>
      <w:b/>
      <w:bCs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120" w:after="120"/>
      <w:outlineLvl w:val="1"/>
    </w:pPr>
    <w:rPr>
      <w:rFonts w:eastAsia="Times New Roman"/>
      <w:b/>
      <w:bCs/>
      <w:szCs w:val="26"/>
      <w:lang w:eastAsia="ru-RU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spacing w:before="120" w:after="120"/>
      <w:outlineLvl w:val="2"/>
    </w:pPr>
    <w:rPr>
      <w:rFonts w:eastAsia="Times New Roman"/>
      <w:b/>
      <w:bCs/>
      <w:szCs w:val="24"/>
      <w:lang w:eastAsia="ru-RU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link w:val="24"/>
    <w:qFormat/>
    <w:uiPriority w:val="0"/>
    <w:pPr>
      <w:pBdr>
        <w:bottom w:val="single" w:color="4F81BD" w:sz="8" w:space="4"/>
      </w:pBdr>
      <w:spacing w:after="300"/>
      <w:contextualSpacing/>
    </w:pPr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paragraph" w:styleId="6">
    <w:name w:val="toc 2"/>
    <w:basedOn w:val="1"/>
    <w:next w:val="1"/>
    <w:link w:val="17"/>
    <w:unhideWhenUsed/>
    <w:qFormat/>
    <w:uiPriority w:val="39"/>
    <w:pPr>
      <w:tabs>
        <w:tab w:val="right" w:leader="dot" w:pos="9356"/>
      </w:tabs>
      <w:spacing w:after="100"/>
      <w:ind w:right="709"/>
    </w:pPr>
  </w:style>
  <w:style w:type="paragraph" w:customStyle="1" w:styleId="9">
    <w:name w:val="список"/>
    <w:basedOn w:val="1"/>
    <w:link w:val="10"/>
    <w:qFormat/>
    <w:uiPriority w:val="0"/>
    <w:pPr>
      <w:spacing w:after="120"/>
      <w:contextualSpacing/>
    </w:pPr>
    <w:rPr>
      <w:rFonts w:eastAsiaTheme="minorHAnsi"/>
      <w:sz w:val="24"/>
      <w:szCs w:val="24"/>
    </w:rPr>
  </w:style>
  <w:style w:type="character" w:customStyle="1" w:styleId="10">
    <w:name w:val="список Знак"/>
    <w:basedOn w:val="7"/>
    <w:link w:val="9"/>
    <w:uiPriority w:val="0"/>
    <w:rPr>
      <w:rFonts w:ascii="Times New Roman" w:hAnsi="Times New Roman" w:eastAsiaTheme="minorHAnsi"/>
      <w:sz w:val="24"/>
      <w:szCs w:val="24"/>
    </w:rPr>
  </w:style>
  <w:style w:type="paragraph" w:customStyle="1" w:styleId="11">
    <w:name w:val="таблица"/>
    <w:basedOn w:val="1"/>
    <w:link w:val="12"/>
    <w:qFormat/>
    <w:uiPriority w:val="0"/>
    <w:pPr>
      <w:ind w:firstLine="0"/>
      <w:jc w:val="left"/>
    </w:pPr>
    <w:rPr>
      <w:rFonts w:eastAsia="Times New Roman"/>
      <w:bCs/>
      <w:sz w:val="24"/>
      <w:szCs w:val="24"/>
    </w:rPr>
  </w:style>
  <w:style w:type="character" w:customStyle="1" w:styleId="12">
    <w:name w:val="таблица Знак"/>
    <w:basedOn w:val="7"/>
    <w:link w:val="11"/>
    <w:uiPriority w:val="0"/>
    <w:rPr>
      <w:rFonts w:ascii="Times New Roman" w:hAnsi="Times New Roman" w:eastAsia="Times New Roman"/>
      <w:bCs/>
      <w:sz w:val="24"/>
      <w:szCs w:val="24"/>
    </w:rPr>
  </w:style>
  <w:style w:type="paragraph" w:customStyle="1" w:styleId="13">
    <w:name w:val="рисунок"/>
    <w:basedOn w:val="1"/>
    <w:link w:val="14"/>
    <w:qFormat/>
    <w:uiPriority w:val="0"/>
    <w:pPr>
      <w:spacing w:after="120"/>
      <w:ind w:firstLine="0"/>
      <w:jc w:val="center"/>
    </w:pPr>
    <w:rPr>
      <w:rFonts w:eastAsiaTheme="minorHAnsi"/>
      <w:sz w:val="22"/>
      <w:szCs w:val="24"/>
    </w:rPr>
  </w:style>
  <w:style w:type="character" w:customStyle="1" w:styleId="14">
    <w:name w:val="рисунок Знак"/>
    <w:basedOn w:val="7"/>
    <w:link w:val="13"/>
    <w:uiPriority w:val="0"/>
    <w:rPr>
      <w:rFonts w:ascii="Times New Roman" w:hAnsi="Times New Roman" w:eastAsiaTheme="minorHAnsi"/>
      <w:sz w:val="22"/>
      <w:szCs w:val="24"/>
    </w:rPr>
  </w:style>
  <w:style w:type="paragraph" w:customStyle="1" w:styleId="15">
    <w:name w:val="Стиль2"/>
    <w:basedOn w:val="6"/>
    <w:link w:val="16"/>
    <w:qFormat/>
    <w:uiPriority w:val="0"/>
    <w:pPr>
      <w:spacing w:after="0"/>
    </w:pPr>
  </w:style>
  <w:style w:type="character" w:customStyle="1" w:styleId="16">
    <w:name w:val="Стиль2 Знак"/>
    <w:basedOn w:val="17"/>
    <w:link w:val="15"/>
    <w:uiPriority w:val="0"/>
    <w:rPr>
      <w:rFonts w:ascii="Times New Roman" w:hAnsi="Times New Roman"/>
      <w:sz w:val="28"/>
      <w:szCs w:val="28"/>
    </w:rPr>
  </w:style>
  <w:style w:type="character" w:customStyle="1" w:styleId="17">
    <w:name w:val="Оглавление 2 Знак"/>
    <w:basedOn w:val="7"/>
    <w:link w:val="6"/>
    <w:uiPriority w:val="39"/>
    <w:rPr>
      <w:rFonts w:ascii="Times New Roman" w:hAnsi="Times New Roman"/>
      <w:sz w:val="28"/>
      <w:szCs w:val="28"/>
    </w:rPr>
  </w:style>
  <w:style w:type="paragraph" w:customStyle="1" w:styleId="18">
    <w:name w:val="нумерация"/>
    <w:basedOn w:val="19"/>
    <w:link w:val="20"/>
    <w:qFormat/>
    <w:uiPriority w:val="0"/>
    <w:pPr>
      <w:ind w:left="0" w:firstLine="567"/>
    </w:pPr>
  </w:style>
  <w:style w:type="paragraph" w:styleId="19">
    <w:name w:val="List Paragraph"/>
    <w:basedOn w:val="1"/>
    <w:link w:val="27"/>
    <w:qFormat/>
    <w:uiPriority w:val="34"/>
    <w:pPr>
      <w:ind w:left="720"/>
      <w:contextualSpacing/>
    </w:pPr>
  </w:style>
  <w:style w:type="character" w:customStyle="1" w:styleId="20">
    <w:name w:val="нумерация Знак"/>
    <w:basedOn w:val="7"/>
    <w:link w:val="18"/>
    <w:locked/>
    <w:uiPriority w:val="0"/>
    <w:rPr>
      <w:rFonts w:ascii="Times New Roman" w:hAnsi="Times New Roman"/>
      <w:sz w:val="28"/>
      <w:szCs w:val="28"/>
    </w:rPr>
  </w:style>
  <w:style w:type="character" w:customStyle="1" w:styleId="21">
    <w:name w:val="Заголовок 1 Знак"/>
    <w:basedOn w:val="7"/>
    <w:link w:val="2"/>
    <w:uiPriority w:val="0"/>
    <w:rPr>
      <w:rFonts w:ascii="Times New Roman" w:hAnsi="Times New Roman" w:eastAsia="Times New Roman"/>
      <w:b/>
      <w:bCs/>
      <w:sz w:val="28"/>
      <w:szCs w:val="28"/>
    </w:rPr>
  </w:style>
  <w:style w:type="character" w:customStyle="1" w:styleId="22">
    <w:name w:val="Заголовок 2 Знак"/>
    <w:basedOn w:val="7"/>
    <w:link w:val="3"/>
    <w:uiPriority w:val="0"/>
    <w:rPr>
      <w:rFonts w:ascii="Times New Roman" w:hAnsi="Times New Roman" w:eastAsia="Times New Roman"/>
      <w:b/>
      <w:bCs/>
      <w:sz w:val="28"/>
      <w:szCs w:val="26"/>
      <w:lang w:eastAsia="ru-RU"/>
    </w:rPr>
  </w:style>
  <w:style w:type="character" w:customStyle="1" w:styleId="23">
    <w:name w:val="Заголовок 3 Знак"/>
    <w:basedOn w:val="7"/>
    <w:link w:val="4"/>
    <w:uiPriority w:val="0"/>
    <w:rPr>
      <w:rFonts w:ascii="Times New Roman" w:hAnsi="Times New Roman" w:eastAsia="Times New Roman"/>
      <w:b/>
      <w:bCs/>
      <w:sz w:val="28"/>
      <w:szCs w:val="24"/>
      <w:lang w:eastAsia="ru-RU"/>
    </w:rPr>
  </w:style>
  <w:style w:type="character" w:customStyle="1" w:styleId="24">
    <w:name w:val="Название Знак"/>
    <w:basedOn w:val="7"/>
    <w:link w:val="5"/>
    <w:uiPriority w:val="0"/>
    <w:rPr>
      <w:rFonts w:ascii="Cambria" w:hAnsi="Cambria" w:eastAsia="Times New Roman"/>
      <w:color w:val="17365D"/>
      <w:spacing w:val="5"/>
      <w:kern w:val="28"/>
      <w:sz w:val="52"/>
      <w:szCs w:val="52"/>
    </w:rPr>
  </w:style>
  <w:style w:type="paragraph" w:styleId="25">
    <w:name w:val="No Spacing"/>
    <w:basedOn w:val="1"/>
    <w:link w:val="26"/>
    <w:qFormat/>
    <w:uiPriority w:val="1"/>
    <w:pPr>
      <w:ind w:firstLine="851"/>
      <w:contextualSpacing/>
    </w:pPr>
    <w:rPr>
      <w:rFonts w:eastAsia="Times New Roman"/>
      <w:bCs/>
      <w:spacing w:val="1"/>
      <w:lang w:bidi="en-US"/>
    </w:rPr>
  </w:style>
  <w:style w:type="character" w:customStyle="1" w:styleId="26">
    <w:name w:val="Без интервала Знак"/>
    <w:basedOn w:val="7"/>
    <w:link w:val="25"/>
    <w:uiPriority w:val="1"/>
    <w:rPr>
      <w:rFonts w:ascii="Times New Roman" w:hAnsi="Times New Roman" w:eastAsia="Times New Roman"/>
      <w:bCs/>
      <w:spacing w:val="1"/>
      <w:sz w:val="28"/>
      <w:szCs w:val="28"/>
      <w:lang w:bidi="en-US"/>
    </w:rPr>
  </w:style>
  <w:style w:type="character" w:customStyle="1" w:styleId="27">
    <w:name w:val="Абзац списка Знак"/>
    <w:basedOn w:val="7"/>
    <w:link w:val="19"/>
    <w:uiPriority w:val="34"/>
    <w:rPr>
      <w:rFonts w:ascii="Times New Roman" w:hAnsi="Times New Roman"/>
      <w:sz w:val="28"/>
      <w:szCs w:val="28"/>
    </w:rPr>
  </w:style>
  <w:style w:type="paragraph" w:customStyle="1" w:styleId="28">
    <w:name w:val="TOC Heading"/>
    <w:basedOn w:val="2"/>
    <w:next w:val="1"/>
    <w:semiHidden/>
    <w:unhideWhenUsed/>
    <w:qFormat/>
    <w:uiPriority w:val="39"/>
    <w:pPr>
      <w:keepNext w:val="0"/>
      <w:keepLines w:val="0"/>
      <w:pBdr>
        <w:bottom w:val="thinThickSmallGap" w:color="943634" w:sz="12" w:space="1"/>
      </w:pBdr>
      <w:spacing w:before="400"/>
      <w:contextualSpacing/>
      <w:outlineLvl w:val="9"/>
    </w:pPr>
    <w:rPr>
      <w:b w:val="0"/>
      <w:bCs w:val="0"/>
      <w:caps/>
      <w:color w:val="632423"/>
      <w:spacing w:val="20"/>
      <w:lang w:bidi="en-US"/>
    </w:rPr>
  </w:style>
  <w:style w:type="paragraph" w:customStyle="1" w:styleId="29">
    <w:name w:val="ConsPlusNormal"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8"/>
      <w:lang w:val="ru-RU" w:eastAsia="ru-RU" w:bidi="ar-SA"/>
    </w:rPr>
  </w:style>
  <w:style w:type="paragraph" w:customStyle="1" w:styleId="30">
    <w:name w:val="ConsPlusNonformat"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1">
    <w:name w:val="ConsPlusTitle"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sz w:val="28"/>
      <w:lang w:val="ru-RU" w:eastAsia="ru-RU" w:bidi="ar-SA"/>
    </w:rPr>
  </w:style>
  <w:style w:type="paragraph" w:customStyle="1" w:styleId="32">
    <w:name w:val="ConsPlusTitlePage"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1002</Words>
  <Characters>5712</Characters>
  <Lines>47</Lines>
  <Paragraphs>13</Paragraphs>
  <TotalTime>1</TotalTime>
  <ScaleCrop>false</ScaleCrop>
  <LinksUpToDate>false</LinksUpToDate>
  <CharactersWithSpaces>6701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2019-08-27T09:40:00Z</dcterms:created>
  <dc:creator>У ВС РДГА</dc:creator>
  <cp:lastModifiedBy>saltykov</cp:lastModifiedBy>
  <dcterms:modified xsi:type="dcterms:W3CDTF">2019-08-29T09:30:14Z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